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
        <w:tblW w:w="9987" w:type="dxa"/>
        <w:tblCellMar>
          <w:left w:w="0" w:type="dxa"/>
          <w:right w:w="0" w:type="dxa"/>
        </w:tblCellMar>
        <w:tblLook w:val="04A0" w:firstRow="1" w:lastRow="0" w:firstColumn="1" w:lastColumn="0" w:noHBand="0" w:noVBand="1"/>
      </w:tblPr>
      <w:tblGrid>
        <w:gridCol w:w="9987"/>
      </w:tblGrid>
      <w:tr w:rsidR="00282D0A" w:rsidRPr="008C748D" w:rsidTr="00282D0A">
        <w:trPr>
          <w:trHeight w:val="859"/>
        </w:trPr>
        <w:tc>
          <w:tcPr>
            <w:tcW w:w="9987" w:type="dxa"/>
            <w:shd w:val="clear" w:color="auto" w:fill="auto"/>
            <w:vAlign w:val="bottom"/>
          </w:tcPr>
          <w:p w:rsidR="00282D0A" w:rsidRPr="00116F6F" w:rsidRDefault="00282D0A" w:rsidP="00282D0A">
            <w:pPr>
              <w:pStyle w:val="DPCmainheading"/>
              <w:rPr>
                <w:sz w:val="46"/>
                <w:szCs w:val="46"/>
              </w:rPr>
            </w:pPr>
            <w:r w:rsidRPr="00116F6F">
              <w:rPr>
                <w:sz w:val="46"/>
                <w:szCs w:val="46"/>
              </w:rPr>
              <w:t>Long Service Leave in Victoria</w:t>
            </w:r>
          </w:p>
        </w:tc>
      </w:tr>
      <w:tr w:rsidR="00282D0A" w:rsidRPr="008C748D" w:rsidTr="00282D0A">
        <w:trPr>
          <w:trHeight w:val="282"/>
        </w:trPr>
        <w:tc>
          <w:tcPr>
            <w:tcW w:w="9987" w:type="dxa"/>
            <w:shd w:val="clear" w:color="auto" w:fill="auto"/>
            <w:tcMar>
              <w:top w:w="284" w:type="dxa"/>
              <w:bottom w:w="454" w:type="dxa"/>
            </w:tcMar>
          </w:tcPr>
          <w:p w:rsidR="00042D1E" w:rsidRPr="00042D1E" w:rsidRDefault="00042D1E" w:rsidP="00042D1E">
            <w:pPr>
              <w:pStyle w:val="DPCmainsubheading"/>
              <w:rPr>
                <w:sz w:val="28"/>
                <w:szCs w:val="28"/>
              </w:rPr>
            </w:pPr>
            <w:r w:rsidRPr="00042D1E">
              <w:rPr>
                <w:sz w:val="28"/>
                <w:szCs w:val="28"/>
              </w:rPr>
              <w:t xml:space="preserve">Fact Sheet No. 7 </w:t>
            </w:r>
          </w:p>
          <w:p w:rsidR="00282D0A" w:rsidRPr="004E10B9" w:rsidRDefault="00042D1E" w:rsidP="00042D1E">
            <w:pPr>
              <w:pStyle w:val="DPCmainsubheading"/>
              <w:rPr>
                <w:sz w:val="28"/>
                <w:szCs w:val="28"/>
              </w:rPr>
            </w:pPr>
            <w:r w:rsidRPr="00042D1E">
              <w:rPr>
                <w:sz w:val="28"/>
                <w:szCs w:val="28"/>
              </w:rPr>
              <w:t>Entitlement to take leave and ‘Ordinary Pay’</w:t>
            </w:r>
          </w:p>
        </w:tc>
      </w:tr>
    </w:tbl>
    <w:p w:rsidR="00C07B16" w:rsidRPr="008C748D" w:rsidRDefault="00C07B16" w:rsidP="00C37731">
      <w:pPr>
        <w:pStyle w:val="Spacerparatopoffirstpage"/>
        <w:rPr>
          <w:noProof w:val="0"/>
        </w:rPr>
        <w:sectPr w:rsidR="00C07B16" w:rsidRPr="008C748D" w:rsidSect="00CE750D">
          <w:headerReference w:type="default" r:id="rId8"/>
          <w:footerReference w:type="default" r:id="rId9"/>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0">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042D1E" w:rsidRDefault="00042D1E" w:rsidP="00BA224E">
      <w:pPr>
        <w:pStyle w:val="DPCbody"/>
        <w:rPr>
          <w:color w:val="00559A" w:themeColor="accent1" w:themeShade="BF"/>
        </w:rPr>
      </w:pP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 xml:space="preserve">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w:t>
      </w:r>
      <w:proofErr w:type="spellStart"/>
      <w:r w:rsidRPr="00BA224E">
        <w:rPr>
          <w:color w:val="00559A" w:themeColor="accent1" w:themeShade="BF"/>
        </w:rPr>
        <w:t>CoINVEST</w:t>
      </w:r>
      <w:proofErr w:type="spellEnd"/>
      <w:r w:rsidRPr="00BA224E">
        <w:rPr>
          <w:color w:val="00559A" w:themeColor="accent1" w:themeShade="BF"/>
        </w:rPr>
        <w:t xml:space="preserve"> for workers in the construction industry.</w:t>
      </w:r>
    </w:p>
    <w:p w:rsidR="00BA224E" w:rsidRPr="00BA224E" w:rsidRDefault="00BA224E" w:rsidP="00BA224E">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042D1E" w:rsidRDefault="00042D1E" w:rsidP="00042D1E">
      <w:pPr>
        <w:pStyle w:val="Heading4"/>
      </w:pPr>
      <w:r>
        <w:t>Entitlement to take leave after 7 years</w:t>
      </w:r>
    </w:p>
    <w:p w:rsidR="00042D1E" w:rsidRDefault="00042D1E" w:rsidP="00042D1E">
      <w:pPr>
        <w:pStyle w:val="DPCbody"/>
      </w:pPr>
      <w:r>
        <w:t xml:space="preserve">Employees are entitled to take long service leave after a minimum of 7 years’ continuous employment. Previously an employee had to work </w:t>
      </w:r>
      <w:r w:rsidR="00D672D0">
        <w:t>at least</w:t>
      </w:r>
      <w:r>
        <w:t xml:space="preserve"> 10 years to take</w:t>
      </w:r>
      <w:r w:rsidR="00D672D0">
        <w:t xml:space="preserve"> this </w:t>
      </w:r>
      <w:r>
        <w:t>leave.</w:t>
      </w:r>
    </w:p>
    <w:p w:rsidR="00042D1E" w:rsidRDefault="00042D1E" w:rsidP="00042D1E">
      <w:pPr>
        <w:pStyle w:val="DPCbody"/>
      </w:pPr>
      <w:r>
        <w:t>The amount of leave an employee is entitled to take is calculated on one-sixtieth of the period of employment, i.e. number of weeks employment divided by 60 equals the number of weeks entitlement. For example, if an employee has worked for 7 years, convert this to weeks, divide by 60, and this equals approximately 6.1 weeks. 6.1 weeks is the long service leave entitlement at that time. The actual entitlement has not changed.</w:t>
      </w:r>
    </w:p>
    <w:p w:rsidR="00042D1E" w:rsidRDefault="00042D1E" w:rsidP="00042D1E">
      <w:pPr>
        <w:pStyle w:val="Heading4"/>
      </w:pPr>
      <w:r>
        <w:t>Definition of ‘ordinary pay”</w:t>
      </w:r>
    </w:p>
    <w:p w:rsidR="00042D1E" w:rsidRDefault="00042D1E" w:rsidP="00042D1E">
      <w:pPr>
        <w:pStyle w:val="DPCbody"/>
      </w:pPr>
      <w:r>
        <w:t>When an employee takes long service leave, they are to be paid according to their ‘ordinary pay’. ‘Ordinary pay’ is the actual pay received by an employee for working his or her normal weekly hours at the time the employee takes long service leave or ceases employment and has long service leave paid out.</w:t>
      </w:r>
    </w:p>
    <w:p w:rsidR="00042D1E" w:rsidRDefault="00042D1E" w:rsidP="00042D1E">
      <w:pPr>
        <w:pStyle w:val="DPCbody"/>
      </w:pPr>
      <w:r>
        <w:t>The components that make up ordinary pay will depend on the ‘employment agreement’ of the employee. ‘Employment agreement’ is defined in the LSL Act to include the contract of employment (either oral or written) and statutory entitlements (such as those under awards or enterprise agreements).</w:t>
      </w:r>
    </w:p>
    <w:p w:rsidR="00042D1E" w:rsidRDefault="00042D1E" w:rsidP="00042D1E">
      <w:pPr>
        <w:pStyle w:val="DPCbody"/>
      </w:pPr>
      <w:r>
        <w:t>A</w:t>
      </w:r>
      <w:r>
        <w:t>mounts not included in ‘ordinary pay’ are overtime and penalty rates (such as shift allowance or weekend penalties). Amounts that may be included are various components of a salary package, including commissions and amounts relating to personal use of a motor vehicle. Casual loading is also included when calculating a casual employee’s ordinary pay.</w:t>
      </w:r>
    </w:p>
    <w:p w:rsidR="00042D1E" w:rsidRDefault="00042D1E" w:rsidP="00042D1E">
      <w:pPr>
        <w:pStyle w:val="DPCbody"/>
      </w:pPr>
      <w:r>
        <w:t>For information on rates of pay, please contact the Fair Work Ombudsman</w:t>
      </w:r>
      <w:r>
        <w:t xml:space="preserve"> </w:t>
      </w:r>
      <w:r>
        <w:t xml:space="preserve">on </w:t>
      </w:r>
      <w:r w:rsidRPr="00042D1E">
        <w:rPr>
          <w:b/>
        </w:rPr>
        <w:t>13 13 94</w:t>
      </w:r>
      <w:r>
        <w:t>.</w:t>
      </w:r>
    </w:p>
    <w:p w:rsidR="00042D1E" w:rsidRDefault="00042D1E" w:rsidP="00042D1E">
      <w:pPr>
        <w:pStyle w:val="Heading4"/>
      </w:pPr>
      <w:r>
        <w:lastRenderedPageBreak/>
        <w:t>W</w:t>
      </w:r>
      <w:r>
        <w:t>here there has been a change in weekly hours or no fixed hours</w:t>
      </w:r>
    </w:p>
    <w:p w:rsidR="00042D1E" w:rsidRDefault="00042D1E" w:rsidP="00042D1E">
      <w:pPr>
        <w:pStyle w:val="DPCbody"/>
      </w:pPr>
      <w:r>
        <w:t>If an employee changes their weekly hours in the last 104 weeks – immediately before the employee starts long service leave – or does not have fixed hours of work, as is the case for casual employees, the employee’s hours of work are averaged for the purposes of calculating long service leave. The employee is entitled to the greater of the following:</w:t>
      </w:r>
    </w:p>
    <w:p w:rsidR="00042D1E" w:rsidRPr="00042D1E" w:rsidRDefault="00042D1E" w:rsidP="00042D1E">
      <w:pPr>
        <w:pStyle w:val="DPCbullet1"/>
      </w:pPr>
      <w:r w:rsidRPr="00042D1E">
        <w:t>the average weekly hours worked in the 52 weeks immediately before the employee starts long service leave; or</w:t>
      </w:r>
    </w:p>
    <w:p w:rsidR="00042D1E" w:rsidRPr="00042D1E" w:rsidRDefault="00042D1E" w:rsidP="00042D1E">
      <w:pPr>
        <w:pStyle w:val="DPCbullet1"/>
      </w:pPr>
      <w:r w:rsidRPr="00042D1E">
        <w:t>the average weekly hours worked in the 260 weeks immediately before the employee starts long service leave.</w:t>
      </w:r>
    </w:p>
    <w:p w:rsidR="00042D1E" w:rsidRPr="00042D1E" w:rsidRDefault="00042D1E" w:rsidP="00042D1E">
      <w:pPr>
        <w:pStyle w:val="DPCbullet1"/>
      </w:pPr>
      <w:r w:rsidRPr="00042D1E">
        <w:t>the average weekly hours worked during the employee's entire period of continuous employment with the employer.</w:t>
      </w:r>
    </w:p>
    <w:p w:rsidR="00042D1E" w:rsidRDefault="00042D1E" w:rsidP="00042D1E">
      <w:pPr>
        <w:pStyle w:val="DPCbody"/>
      </w:pPr>
      <w:r>
        <w:t xml:space="preserve">The Act contains formulas to calculate ordinary pay where averaging is required. </w:t>
      </w:r>
    </w:p>
    <w:p w:rsidR="00042D1E" w:rsidRDefault="00042D1E" w:rsidP="00D672D0">
      <w:pPr>
        <w:pStyle w:val="DPCbody"/>
      </w:pPr>
      <w:r>
        <w:t>The following process flowchart has been developed to explain the steps to follow to use the formulas when applying the averaging rules under the Act. You can use this flowchart to work out the normal weekly hours for workers who do not have fixed hours of work. The formulas are also set out in a separate table located below the flowchart.</w:t>
      </w:r>
    </w:p>
    <w:p w:rsidR="00D672D0" w:rsidRPr="00D672D0" w:rsidRDefault="00D672D0" w:rsidP="00D672D0">
      <w:pPr>
        <w:pStyle w:val="DPCtablecaption"/>
      </w:pPr>
      <w:r>
        <w:t>Ordinary pay: Averaging weekly hours – calculating the greatest average</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256"/>
        <w:gridCol w:w="3265"/>
        <w:gridCol w:w="2495"/>
      </w:tblGrid>
      <w:tr w:rsidR="00042D1E" w:rsidTr="00CC236B">
        <w:tc>
          <w:tcPr>
            <w:tcW w:w="3256" w:type="dxa"/>
            <w:vAlign w:val="bottom"/>
          </w:tcPr>
          <w:p w:rsidR="00042D1E" w:rsidRPr="0051176D" w:rsidRDefault="00042D1E" w:rsidP="00CC236B">
            <w:pPr>
              <w:widowControl w:val="0"/>
              <w:tabs>
                <w:tab w:val="left" w:pos="0"/>
              </w:tabs>
              <w:ind w:right="-430"/>
              <w:jc w:val="both"/>
              <w:rPr>
                <w:rFonts w:cs="Arial"/>
                <w:b/>
                <w:color w:val="0072CE" w:themeColor="accent1"/>
                <w:szCs w:val="20"/>
              </w:rPr>
            </w:pPr>
            <w:r w:rsidRPr="0051176D">
              <w:rPr>
                <w:rFonts w:cs="Arial"/>
                <w:b/>
                <w:color w:val="0072CE" w:themeColor="accent1"/>
                <w:szCs w:val="20"/>
              </w:rPr>
              <w:t>52 WEEKS</w:t>
            </w:r>
          </w:p>
          <w:p w:rsidR="00042D1E" w:rsidRPr="0051176D" w:rsidRDefault="00042D1E" w:rsidP="00CC236B">
            <w:pPr>
              <w:widowControl w:val="0"/>
              <w:tabs>
                <w:tab w:val="left" w:pos="0"/>
              </w:tabs>
              <w:ind w:right="-430"/>
              <w:jc w:val="both"/>
              <w:rPr>
                <w:rFonts w:cs="Arial"/>
                <w:b/>
                <w:color w:val="0072CE" w:themeColor="accent1"/>
                <w:szCs w:val="20"/>
              </w:rPr>
            </w:pPr>
            <w:r w:rsidRPr="0051176D">
              <w:rPr>
                <w:rFonts w:cs="Arial"/>
                <w:b/>
                <w:color w:val="0072CE" w:themeColor="accent1"/>
                <w:szCs w:val="20"/>
              </w:rPr>
              <w:t>________________________</w:t>
            </w:r>
          </w:p>
        </w:tc>
        <w:tc>
          <w:tcPr>
            <w:tcW w:w="3265" w:type="dxa"/>
            <w:vAlign w:val="bottom"/>
          </w:tcPr>
          <w:p w:rsidR="00042D1E" w:rsidRPr="0051176D" w:rsidRDefault="00042D1E" w:rsidP="00CC236B">
            <w:pPr>
              <w:widowControl w:val="0"/>
              <w:tabs>
                <w:tab w:val="left" w:pos="0"/>
              </w:tabs>
              <w:ind w:right="-430"/>
              <w:jc w:val="both"/>
              <w:rPr>
                <w:rFonts w:cs="Arial"/>
                <w:b/>
                <w:color w:val="0072CE" w:themeColor="accent1"/>
                <w:szCs w:val="20"/>
              </w:rPr>
            </w:pPr>
            <w:r w:rsidRPr="0051176D">
              <w:rPr>
                <w:rFonts w:cs="Arial"/>
                <w:b/>
                <w:color w:val="0072CE" w:themeColor="accent1"/>
                <w:szCs w:val="20"/>
              </w:rPr>
              <w:t>260 WEEKS</w:t>
            </w:r>
          </w:p>
          <w:p w:rsidR="00042D1E" w:rsidRPr="0051176D" w:rsidRDefault="00042D1E" w:rsidP="00CC236B">
            <w:pPr>
              <w:widowControl w:val="0"/>
              <w:tabs>
                <w:tab w:val="left" w:pos="0"/>
              </w:tabs>
              <w:ind w:right="-430"/>
              <w:jc w:val="both"/>
              <w:rPr>
                <w:rFonts w:cs="Arial"/>
                <w:b/>
                <w:color w:val="0072CE" w:themeColor="accent1"/>
                <w:szCs w:val="20"/>
              </w:rPr>
            </w:pPr>
            <w:r w:rsidRPr="0051176D">
              <w:rPr>
                <w:rFonts w:cs="Arial"/>
                <w:b/>
                <w:color w:val="0072CE" w:themeColor="accent1"/>
                <w:szCs w:val="20"/>
              </w:rPr>
              <w:t>________________________</w:t>
            </w:r>
          </w:p>
        </w:tc>
        <w:tc>
          <w:tcPr>
            <w:tcW w:w="2495" w:type="dxa"/>
            <w:vAlign w:val="bottom"/>
          </w:tcPr>
          <w:p w:rsidR="00042D1E" w:rsidRPr="0051176D" w:rsidRDefault="00042D1E" w:rsidP="00CC236B">
            <w:pPr>
              <w:widowControl w:val="0"/>
              <w:tabs>
                <w:tab w:val="left" w:pos="0"/>
              </w:tabs>
              <w:ind w:right="-430"/>
              <w:rPr>
                <w:rFonts w:cs="Arial"/>
                <w:b/>
                <w:color w:val="0072CE" w:themeColor="accent1"/>
                <w:szCs w:val="20"/>
              </w:rPr>
            </w:pPr>
            <w:r w:rsidRPr="0051176D">
              <w:rPr>
                <w:rFonts w:cs="Arial"/>
                <w:b/>
                <w:color w:val="0072CE" w:themeColor="accent1"/>
                <w:szCs w:val="20"/>
              </w:rPr>
              <w:t>ENTIRE PERIOD OF EMPLOYMENT</w:t>
            </w:r>
          </w:p>
          <w:p w:rsidR="00042D1E" w:rsidRPr="0051176D" w:rsidRDefault="00042D1E" w:rsidP="00CC236B">
            <w:pPr>
              <w:widowControl w:val="0"/>
              <w:tabs>
                <w:tab w:val="left" w:pos="0"/>
              </w:tabs>
              <w:ind w:right="-430"/>
              <w:rPr>
                <w:rFonts w:cs="Arial"/>
                <w:b/>
                <w:color w:val="0072CE" w:themeColor="accent1"/>
                <w:szCs w:val="20"/>
              </w:rPr>
            </w:pPr>
            <w:r w:rsidRPr="0051176D">
              <w:rPr>
                <w:rFonts w:cs="Arial"/>
                <w:b/>
                <w:color w:val="0072CE" w:themeColor="accent1"/>
                <w:szCs w:val="20"/>
              </w:rPr>
              <w:t>_____________________</w:t>
            </w:r>
          </w:p>
        </w:tc>
      </w:tr>
    </w:tbl>
    <w:p w:rsidR="00042D1E" w:rsidRDefault="00042D1E" w:rsidP="00042D1E">
      <w:pPr>
        <w:widowControl w:val="0"/>
        <w:tabs>
          <w:tab w:val="left" w:pos="0"/>
        </w:tabs>
        <w:ind w:right="-430"/>
        <w:rPr>
          <w:rFonts w:cs="Arial"/>
          <w:szCs w:val="20"/>
        </w:rPr>
      </w:pPr>
      <w:r>
        <w:rPr>
          <w:noProof/>
        </w:rPr>
        <w:drawing>
          <wp:inline distT="0" distB="0" distL="0" distR="0" wp14:anchorId="1D2035F8" wp14:editId="77C33053">
            <wp:extent cx="5949950" cy="3091029"/>
            <wp:effectExtent l="0" t="0" r="12700" b="1460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42D1E" w:rsidRDefault="00042D1E" w:rsidP="00042D1E">
      <w:pPr>
        <w:widowControl w:val="0"/>
        <w:tabs>
          <w:tab w:val="left" w:pos="0"/>
        </w:tabs>
        <w:ind w:right="-430"/>
        <w:rPr>
          <w:rFonts w:cs="Arial"/>
          <w:szCs w:val="20"/>
        </w:rPr>
      </w:pPr>
      <w:r>
        <w:rPr>
          <w:rFonts w:cs="Arial"/>
          <w:noProof/>
          <w:szCs w:val="20"/>
        </w:rPr>
        <mc:AlternateContent>
          <mc:Choice Requires="wps">
            <w:drawing>
              <wp:anchor distT="0" distB="0" distL="114300" distR="114300" simplePos="0" relativeHeight="251658240" behindDoc="0" locked="0" layoutInCell="1" allowOverlap="1" wp14:anchorId="1621DA10" wp14:editId="2BB75FAC">
                <wp:simplePos x="0" y="0"/>
                <wp:positionH relativeFrom="column">
                  <wp:posOffset>790575</wp:posOffset>
                </wp:positionH>
                <wp:positionV relativeFrom="paragraph">
                  <wp:posOffset>10160</wp:posOffset>
                </wp:positionV>
                <wp:extent cx="266065" cy="151130"/>
                <wp:effectExtent l="0" t="0" r="635" b="1270"/>
                <wp:wrapNone/>
                <wp:docPr id="25" name="Arrow: Down 25"/>
                <wp:cNvGraphicFramePr/>
                <a:graphic xmlns:a="http://schemas.openxmlformats.org/drawingml/2006/main">
                  <a:graphicData uri="http://schemas.microsoft.com/office/word/2010/wordprocessingShape">
                    <wps:wsp>
                      <wps:cNvSpPr/>
                      <wps:spPr>
                        <a:xfrm>
                          <a:off x="0" y="0"/>
                          <a:ext cx="266065" cy="151130"/>
                        </a:xfrm>
                        <a:prstGeom prst="downArrow">
                          <a:avLst>
                            <a:gd name="adj1" fmla="val 62918"/>
                            <a:gd name="adj2" fmla="val 4299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543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 o:spid="_x0000_s1026" type="#_x0000_t67" style="position:absolute;margin-left:62.25pt;margin-top:.8pt;width:20.9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" adj="12313,4005" fillcolor="#48adff [1940]" stroked="f" strokeweight="2pt"/>
            </w:pict>
          </mc:Fallback>
        </mc:AlternateContent>
      </w:r>
      <w:r>
        <w:rPr>
          <w:rFonts w:cs="Arial"/>
          <w:noProof/>
          <w:szCs w:val="20"/>
        </w:rPr>
        <mc:AlternateContent>
          <mc:Choice Requires="wps">
            <w:drawing>
              <wp:anchor distT="0" distB="0" distL="114300" distR="114300" simplePos="0" relativeHeight="251660288" behindDoc="0" locked="0" layoutInCell="1" allowOverlap="1" wp14:anchorId="34DE0461" wp14:editId="445ACE3C">
                <wp:simplePos x="0" y="0"/>
                <wp:positionH relativeFrom="column">
                  <wp:posOffset>4904740</wp:posOffset>
                </wp:positionH>
                <wp:positionV relativeFrom="paragraph">
                  <wp:posOffset>9525</wp:posOffset>
                </wp:positionV>
                <wp:extent cx="266065" cy="151130"/>
                <wp:effectExtent l="0" t="0" r="635" b="1270"/>
                <wp:wrapNone/>
                <wp:docPr id="28" name="Arrow: Down 28"/>
                <wp:cNvGraphicFramePr/>
                <a:graphic xmlns:a="http://schemas.openxmlformats.org/drawingml/2006/main">
                  <a:graphicData uri="http://schemas.microsoft.com/office/word/2010/wordprocessingShape">
                    <wps:wsp>
                      <wps:cNvSpPr/>
                      <wps:spPr>
                        <a:xfrm>
                          <a:off x="0" y="0"/>
                          <a:ext cx="266065" cy="151130"/>
                        </a:xfrm>
                        <a:prstGeom prst="downArrow">
                          <a:avLst>
                            <a:gd name="adj1" fmla="val 62918"/>
                            <a:gd name="adj2" fmla="val 4299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7F9D" id="Arrow: Down 28" o:spid="_x0000_s1026" type="#_x0000_t67" style="position:absolute;margin-left:386.2pt;margin-top:.75pt;width:20.9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" adj="12313,4005" fillcolor="#48adff [1940]" stroked="f" strokeweight="2pt"/>
            </w:pict>
          </mc:Fallback>
        </mc:AlternateContent>
      </w:r>
      <w:r>
        <w:rPr>
          <w:rFonts w:cs="Arial"/>
          <w:noProof/>
          <w:szCs w:val="20"/>
        </w:rPr>
        <mc:AlternateContent>
          <mc:Choice Requires="wps">
            <w:drawing>
              <wp:anchor distT="0" distB="0" distL="114300" distR="114300" simplePos="0" relativeHeight="251659264" behindDoc="0" locked="0" layoutInCell="1" allowOverlap="1" wp14:anchorId="6AA6BB32" wp14:editId="1968607B">
                <wp:simplePos x="0" y="0"/>
                <wp:positionH relativeFrom="margin">
                  <wp:posOffset>2837815</wp:posOffset>
                </wp:positionH>
                <wp:positionV relativeFrom="paragraph">
                  <wp:posOffset>10795</wp:posOffset>
                </wp:positionV>
                <wp:extent cx="266065" cy="151130"/>
                <wp:effectExtent l="0" t="0" r="635" b="1270"/>
                <wp:wrapNone/>
                <wp:docPr id="26" name="Arrow: Down 26"/>
                <wp:cNvGraphicFramePr/>
                <a:graphic xmlns:a="http://schemas.openxmlformats.org/drawingml/2006/main">
                  <a:graphicData uri="http://schemas.microsoft.com/office/word/2010/wordprocessingShape">
                    <wps:wsp>
                      <wps:cNvSpPr/>
                      <wps:spPr>
                        <a:xfrm>
                          <a:off x="0" y="0"/>
                          <a:ext cx="266065" cy="151130"/>
                        </a:xfrm>
                        <a:prstGeom prst="downArrow">
                          <a:avLst>
                            <a:gd name="adj1" fmla="val 62918"/>
                            <a:gd name="adj2" fmla="val 42995"/>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4C11" id="Arrow: Down 26" o:spid="_x0000_s1026" type="#_x0000_t67" style="position:absolute;margin-left:223.45pt;margin-top:.85pt;width:20.95pt;height:1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" adj="12313,4005" fillcolor="#48adff [1940]" stroked="f" strokeweight="2pt">
                <w10:wrap anchorx="margin"/>
              </v:shape>
            </w:pict>
          </mc:Fallback>
        </mc:AlternateContent>
      </w:r>
    </w:p>
    <w:p w:rsidR="00042D1E" w:rsidRDefault="00042D1E" w:rsidP="00042D1E">
      <w:r>
        <w:rPr>
          <w:noProof/>
        </w:rPr>
        <mc:AlternateContent>
          <mc:Choice Requires="wps">
            <w:drawing>
              <wp:anchor distT="0" distB="0" distL="114300" distR="114300" simplePos="0" relativeHeight="251657216" behindDoc="0" locked="0" layoutInCell="1" allowOverlap="1" wp14:anchorId="544A1710" wp14:editId="3963AC7C">
                <wp:simplePos x="0" y="0"/>
                <wp:positionH relativeFrom="column">
                  <wp:posOffset>54590</wp:posOffset>
                </wp:positionH>
                <wp:positionV relativeFrom="paragraph">
                  <wp:posOffset>49407</wp:posOffset>
                </wp:positionV>
                <wp:extent cx="5861713" cy="513838"/>
                <wp:effectExtent l="0" t="0" r="24765" b="19685"/>
                <wp:wrapNone/>
                <wp:docPr id="23" name="Rectangle: Rounded Corners 23"/>
                <wp:cNvGraphicFramePr/>
                <a:graphic xmlns:a="http://schemas.openxmlformats.org/drawingml/2006/main">
                  <a:graphicData uri="http://schemas.microsoft.com/office/word/2010/wordprocessingShape">
                    <wps:wsp>
                      <wps:cNvSpPr/>
                      <wps:spPr>
                        <a:xfrm>
                          <a:off x="0" y="0"/>
                          <a:ext cx="5861713" cy="5138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D1E" w:rsidRPr="004C61EC" w:rsidRDefault="00042D1E" w:rsidP="00042D1E">
                            <w:pPr>
                              <w:jc w:val="center"/>
                              <w:rPr>
                                <w:rFonts w:cstheme="minorHAnsi"/>
                                <w:color w:val="FFFFFF" w:themeColor="background1"/>
                                <w:sz w:val="18"/>
                                <w:szCs w:val="18"/>
                              </w:rPr>
                            </w:pPr>
                            <w:r w:rsidRPr="004C61EC">
                              <w:rPr>
                                <w:rFonts w:cstheme="minorHAnsi"/>
                                <w:color w:val="FFFFFF" w:themeColor="background1"/>
                                <w:sz w:val="18"/>
                                <w:szCs w:val="18"/>
                              </w:rPr>
                              <w:t xml:space="preserve">The average weekly hours </w:t>
                            </w:r>
                            <w:proofErr w:type="gramStart"/>
                            <w:r w:rsidRPr="004C61EC">
                              <w:rPr>
                                <w:rFonts w:cstheme="minorHAnsi"/>
                                <w:color w:val="FFFFFF" w:themeColor="background1"/>
                                <w:sz w:val="18"/>
                                <w:szCs w:val="18"/>
                              </w:rPr>
                              <w:t>is</w:t>
                            </w:r>
                            <w:proofErr w:type="gramEnd"/>
                            <w:r w:rsidRPr="004C61EC">
                              <w:rPr>
                                <w:rFonts w:cstheme="minorHAnsi"/>
                                <w:color w:val="FFFFFF" w:themeColor="background1"/>
                                <w:sz w:val="18"/>
                                <w:szCs w:val="18"/>
                              </w:rPr>
                              <w:t xml:space="preserve"> the greatest of these three calculations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A1710" id="Rectangle: Rounded Corners 23" o:spid="_x0000_s1026" style="position:absolute;margin-left:4.3pt;margin-top:3.9pt;width:461.55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" fillcolor="#0072ce [3204]" strokecolor="#003866 [1604]" strokeweight="2pt">
                <v:textbox>
                  <w:txbxContent>
                    <w:p w:rsidR="00042D1E" w:rsidRPr="004C61EC" w:rsidRDefault="00042D1E" w:rsidP="00042D1E">
                      <w:pPr>
                        <w:jc w:val="center"/>
                        <w:rPr>
                          <w:rFonts w:cstheme="minorHAnsi"/>
                          <w:color w:val="FFFFFF" w:themeColor="background1"/>
                          <w:sz w:val="18"/>
                          <w:szCs w:val="18"/>
                        </w:rPr>
                      </w:pPr>
                      <w:r w:rsidRPr="004C61EC">
                        <w:rPr>
                          <w:rFonts w:cstheme="minorHAnsi"/>
                          <w:color w:val="FFFFFF" w:themeColor="background1"/>
                          <w:sz w:val="18"/>
                          <w:szCs w:val="18"/>
                        </w:rPr>
                        <w:t xml:space="preserve">The average weekly hours </w:t>
                      </w:r>
                      <w:proofErr w:type="gramStart"/>
                      <w:r w:rsidRPr="004C61EC">
                        <w:rPr>
                          <w:rFonts w:cstheme="minorHAnsi"/>
                          <w:color w:val="FFFFFF" w:themeColor="background1"/>
                          <w:sz w:val="18"/>
                          <w:szCs w:val="18"/>
                        </w:rPr>
                        <w:t>is</w:t>
                      </w:r>
                      <w:proofErr w:type="gramEnd"/>
                      <w:r w:rsidRPr="004C61EC">
                        <w:rPr>
                          <w:rFonts w:cstheme="minorHAnsi"/>
                          <w:color w:val="FFFFFF" w:themeColor="background1"/>
                          <w:sz w:val="18"/>
                          <w:szCs w:val="18"/>
                        </w:rPr>
                        <w:t xml:space="preserve"> the greatest of these three calculations</w:t>
                      </w:r>
                    </w:p>
                  </w:txbxContent>
                </v:textbox>
              </v:roundrect>
            </w:pict>
          </mc:Fallback>
        </mc:AlternateContent>
      </w:r>
    </w:p>
    <w:p w:rsidR="00042D1E" w:rsidRDefault="00042D1E" w:rsidP="00042D1E">
      <w:pPr>
        <w:pStyle w:val="DPCbody"/>
      </w:pPr>
      <w:r>
        <w:br w:type="page"/>
      </w:r>
    </w:p>
    <w:p w:rsidR="00D672D0" w:rsidRPr="00D672D0" w:rsidRDefault="00D672D0" w:rsidP="00D672D0">
      <w:pPr>
        <w:pStyle w:val="DPCtablecaption"/>
      </w:pPr>
      <w:r>
        <w:lastRenderedPageBreak/>
        <w:t>Table of formulas for calculating normal weekly hours where hours vary or change</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2402"/>
        <w:gridCol w:w="2165"/>
        <w:gridCol w:w="2165"/>
        <w:gridCol w:w="2402"/>
      </w:tblGrid>
      <w:tr w:rsidR="00D672D0" w:rsidRPr="0016580C" w:rsidTr="00CC236B">
        <w:tc>
          <w:tcPr>
            <w:tcW w:w="3487" w:type="dxa"/>
            <w:shd w:val="clear" w:color="auto" w:fill="D9D9D9" w:themeFill="background1" w:themeFillShade="D9"/>
          </w:tcPr>
          <w:p w:rsidR="00D672D0" w:rsidRPr="0016580C" w:rsidRDefault="00D672D0" w:rsidP="00D672D0">
            <w:pPr>
              <w:pStyle w:val="DPCtablecolhead"/>
            </w:pPr>
          </w:p>
          <w:p w:rsidR="00D672D0" w:rsidRPr="0016580C" w:rsidRDefault="00D672D0" w:rsidP="00D672D0">
            <w:pPr>
              <w:pStyle w:val="DPCtablecolhead"/>
            </w:pPr>
            <w:r w:rsidRPr="0016580C">
              <w:t>PERIOD OF CONTINUOUS EMPLOYMENT</w:t>
            </w:r>
          </w:p>
          <w:p w:rsidR="00D672D0" w:rsidRPr="0016580C" w:rsidRDefault="00D672D0" w:rsidP="00D672D0">
            <w:pPr>
              <w:pStyle w:val="DPCtablecolhead"/>
            </w:pPr>
            <w:r w:rsidRPr="0016580C">
              <w:t xml:space="preserve"> </w:t>
            </w:r>
          </w:p>
        </w:tc>
        <w:tc>
          <w:tcPr>
            <w:tcW w:w="3487" w:type="dxa"/>
          </w:tcPr>
          <w:p w:rsidR="00D672D0" w:rsidRPr="0016580C" w:rsidRDefault="00D672D0" w:rsidP="00D672D0">
            <w:pPr>
              <w:pStyle w:val="DPCtablecolhead"/>
            </w:pPr>
          </w:p>
          <w:p w:rsidR="00D672D0" w:rsidRPr="0016580C" w:rsidRDefault="00D672D0" w:rsidP="00D672D0">
            <w:pPr>
              <w:pStyle w:val="DPCtablecolhead"/>
            </w:pPr>
            <w:r w:rsidRPr="0016580C">
              <w:t>52 WEEKS</w:t>
            </w:r>
          </w:p>
        </w:tc>
        <w:tc>
          <w:tcPr>
            <w:tcW w:w="3487" w:type="dxa"/>
          </w:tcPr>
          <w:p w:rsidR="00D672D0" w:rsidRPr="0016580C" w:rsidRDefault="00D672D0" w:rsidP="00D672D0">
            <w:pPr>
              <w:pStyle w:val="DPCtablecolhead"/>
            </w:pPr>
          </w:p>
          <w:p w:rsidR="00D672D0" w:rsidRPr="0016580C" w:rsidRDefault="00D672D0" w:rsidP="00D672D0">
            <w:pPr>
              <w:pStyle w:val="DPCtablecolhead"/>
            </w:pPr>
            <w:r w:rsidRPr="0016580C">
              <w:t xml:space="preserve"> 260 WEEKS</w:t>
            </w:r>
          </w:p>
        </w:tc>
        <w:tc>
          <w:tcPr>
            <w:tcW w:w="3487" w:type="dxa"/>
          </w:tcPr>
          <w:p w:rsidR="00D672D0" w:rsidRPr="0016580C" w:rsidRDefault="00D672D0" w:rsidP="00D672D0">
            <w:pPr>
              <w:pStyle w:val="DPCtablecolhead"/>
            </w:pPr>
          </w:p>
          <w:p w:rsidR="00D672D0" w:rsidRPr="0016580C" w:rsidRDefault="00D672D0" w:rsidP="00D672D0">
            <w:pPr>
              <w:pStyle w:val="DPCtablecolhead"/>
            </w:pPr>
            <w:r w:rsidRPr="0016580C">
              <w:t>LAST PERIOD OF CONTINUOUS EMPLOYMENT</w:t>
            </w:r>
          </w:p>
        </w:tc>
      </w:tr>
      <w:tr w:rsidR="00D672D0" w:rsidRPr="0016580C" w:rsidTr="00CC236B">
        <w:tc>
          <w:tcPr>
            <w:tcW w:w="3487" w:type="dxa"/>
            <w:shd w:val="clear" w:color="auto" w:fill="D9D9D9" w:themeFill="background1" w:themeFillShade="D9"/>
          </w:tcPr>
          <w:p w:rsidR="00D672D0" w:rsidRPr="0016580C" w:rsidRDefault="00D672D0" w:rsidP="00D672D0">
            <w:pPr>
              <w:pStyle w:val="DPCtablecolhead"/>
            </w:pPr>
          </w:p>
          <w:p w:rsidR="00D672D0" w:rsidRPr="0016580C" w:rsidRDefault="00D672D0" w:rsidP="00D672D0">
            <w:pPr>
              <w:pStyle w:val="DPCtablecolhead"/>
            </w:pPr>
            <w:r w:rsidRPr="0016580C">
              <w:t>FORMULA</w:t>
            </w:r>
          </w:p>
          <w:p w:rsidR="00D672D0" w:rsidRPr="0016580C" w:rsidRDefault="00D672D0" w:rsidP="00D672D0">
            <w:pPr>
              <w:pStyle w:val="DPCtablecolhead"/>
            </w:pPr>
          </w:p>
        </w:tc>
        <w:tc>
          <w:tcPr>
            <w:tcW w:w="3487" w:type="dxa"/>
          </w:tcPr>
          <w:p w:rsidR="00D672D0" w:rsidRPr="0016580C" w:rsidRDefault="00D672D0" w:rsidP="00D672D0">
            <w:pPr>
              <w:pStyle w:val="DPCtabletext"/>
            </w:pPr>
          </w:p>
          <w:p w:rsidR="00D672D0" w:rsidRPr="0016580C" w:rsidRDefault="00D672D0" w:rsidP="00D672D0">
            <w:pPr>
              <w:pStyle w:val="DPCtabletext"/>
            </w:pPr>
            <w:r w:rsidRPr="0016580C">
              <w:t xml:space="preserve">              (B + C)</w:t>
            </w:r>
          </w:p>
          <w:p w:rsidR="00D672D0" w:rsidRPr="0016580C" w:rsidRDefault="00D672D0" w:rsidP="00D672D0">
            <w:pPr>
              <w:pStyle w:val="DPCtabletext"/>
            </w:pPr>
            <w:r w:rsidRPr="0016580C">
              <w:t>A=       --------------</w:t>
            </w:r>
          </w:p>
          <w:p w:rsidR="00D672D0" w:rsidRPr="0016580C" w:rsidRDefault="00D672D0" w:rsidP="00D672D0">
            <w:pPr>
              <w:pStyle w:val="DPCtabletext"/>
            </w:pPr>
            <w:r w:rsidRPr="0016580C">
              <w:t xml:space="preserve">             (52 – D)</w:t>
            </w:r>
          </w:p>
          <w:p w:rsidR="00D672D0" w:rsidRPr="0016580C" w:rsidRDefault="00D672D0" w:rsidP="00D672D0">
            <w:pPr>
              <w:pStyle w:val="DPCtabletext"/>
            </w:pPr>
          </w:p>
        </w:tc>
        <w:tc>
          <w:tcPr>
            <w:tcW w:w="3487" w:type="dxa"/>
          </w:tcPr>
          <w:p w:rsidR="00D672D0" w:rsidRPr="0016580C" w:rsidRDefault="00D672D0" w:rsidP="00D672D0">
            <w:pPr>
              <w:pStyle w:val="DPCtabletext"/>
            </w:pPr>
          </w:p>
          <w:p w:rsidR="00D672D0" w:rsidRPr="0016580C" w:rsidRDefault="00D672D0" w:rsidP="00D672D0">
            <w:pPr>
              <w:pStyle w:val="DPCtabletext"/>
            </w:pPr>
            <w:r w:rsidRPr="0016580C">
              <w:t xml:space="preserve">                  (B + C)</w:t>
            </w:r>
          </w:p>
          <w:p w:rsidR="00D672D0" w:rsidRPr="0016580C" w:rsidRDefault="00D672D0" w:rsidP="00D672D0">
            <w:pPr>
              <w:pStyle w:val="DPCtabletext"/>
            </w:pPr>
            <w:r>
              <w:t>A=          -----</w:t>
            </w:r>
            <w:r w:rsidRPr="0016580C">
              <w:t>--------</w:t>
            </w:r>
          </w:p>
          <w:p w:rsidR="00D672D0" w:rsidRPr="0016580C" w:rsidRDefault="00D672D0" w:rsidP="00D672D0">
            <w:pPr>
              <w:pStyle w:val="DPCtabletext"/>
            </w:pPr>
            <w:r w:rsidRPr="0016580C">
              <w:t xml:space="preserve">                (260 – D)</w:t>
            </w:r>
          </w:p>
          <w:p w:rsidR="00D672D0" w:rsidRPr="0016580C" w:rsidRDefault="00D672D0" w:rsidP="00D672D0">
            <w:pPr>
              <w:pStyle w:val="DPCtabletext"/>
            </w:pPr>
          </w:p>
        </w:tc>
        <w:tc>
          <w:tcPr>
            <w:tcW w:w="3487" w:type="dxa"/>
          </w:tcPr>
          <w:p w:rsidR="00D672D0" w:rsidRPr="0016580C" w:rsidRDefault="00D672D0" w:rsidP="00D672D0">
            <w:pPr>
              <w:pStyle w:val="DPCtabletext"/>
            </w:pPr>
          </w:p>
          <w:p w:rsidR="00D672D0" w:rsidRPr="0016580C" w:rsidRDefault="00D672D0" w:rsidP="00D672D0">
            <w:pPr>
              <w:pStyle w:val="DPCtabletext"/>
            </w:pPr>
            <w:r w:rsidRPr="0016580C">
              <w:t xml:space="preserve">                 (B + C)</w:t>
            </w:r>
          </w:p>
          <w:p w:rsidR="00D672D0" w:rsidRPr="0016580C" w:rsidRDefault="00D672D0" w:rsidP="00D672D0">
            <w:pPr>
              <w:pStyle w:val="DPCtabletext"/>
            </w:pPr>
            <w:r w:rsidRPr="0016580C">
              <w:t>A=         ----------------</w:t>
            </w:r>
          </w:p>
          <w:p w:rsidR="00D672D0" w:rsidRPr="0016580C" w:rsidRDefault="00D672D0" w:rsidP="00D672D0">
            <w:pPr>
              <w:pStyle w:val="DPCtabletext"/>
            </w:pPr>
            <w:r w:rsidRPr="0016580C">
              <w:t xml:space="preserve">                 (D – E)</w:t>
            </w:r>
          </w:p>
          <w:p w:rsidR="00D672D0" w:rsidRPr="0016580C" w:rsidRDefault="00D672D0" w:rsidP="00D672D0">
            <w:pPr>
              <w:pStyle w:val="DPCtabletext"/>
            </w:pPr>
          </w:p>
        </w:tc>
      </w:tr>
      <w:tr w:rsidR="00D672D0" w:rsidRPr="0016580C" w:rsidTr="00CC236B">
        <w:tc>
          <w:tcPr>
            <w:tcW w:w="3487" w:type="dxa"/>
            <w:shd w:val="clear" w:color="auto" w:fill="D9D9D9" w:themeFill="background1" w:themeFillShade="D9"/>
          </w:tcPr>
          <w:p w:rsidR="00D672D0" w:rsidRPr="0016580C" w:rsidRDefault="00D672D0" w:rsidP="00D672D0">
            <w:pPr>
              <w:pStyle w:val="DPCtablecolhead"/>
            </w:pPr>
          </w:p>
          <w:p w:rsidR="00D672D0" w:rsidRPr="0016580C" w:rsidRDefault="00D672D0" w:rsidP="00D672D0">
            <w:pPr>
              <w:pStyle w:val="DPCtablecolhead"/>
            </w:pPr>
            <w:r w:rsidRPr="0016580C">
              <w:t xml:space="preserve">KEY TO FORMULA </w:t>
            </w:r>
          </w:p>
          <w:p w:rsidR="00D672D0" w:rsidRPr="0016580C" w:rsidRDefault="00D672D0" w:rsidP="00D672D0">
            <w:pPr>
              <w:pStyle w:val="DPCtablecolhead"/>
            </w:pPr>
          </w:p>
        </w:tc>
        <w:tc>
          <w:tcPr>
            <w:tcW w:w="3487" w:type="dxa"/>
          </w:tcPr>
          <w:p w:rsidR="00D672D0" w:rsidRPr="0016580C" w:rsidRDefault="00D672D0" w:rsidP="00D672D0">
            <w:pPr>
              <w:pStyle w:val="DPCtabletext"/>
            </w:pPr>
          </w:p>
          <w:p w:rsidR="00D672D0" w:rsidRPr="0016580C" w:rsidRDefault="00D672D0" w:rsidP="00D672D0">
            <w:pPr>
              <w:pStyle w:val="DPCtabletext"/>
            </w:pPr>
            <w:r w:rsidRPr="0016580C">
              <w:t xml:space="preserve">A is the employee's </w:t>
            </w:r>
            <w:r>
              <w:t>average weekly number of hours</w:t>
            </w:r>
          </w:p>
          <w:p w:rsidR="00D672D0" w:rsidRPr="0016580C" w:rsidRDefault="00D672D0" w:rsidP="00D672D0">
            <w:pPr>
              <w:pStyle w:val="DPCtabletext"/>
            </w:pPr>
          </w:p>
          <w:p w:rsidR="00D672D0" w:rsidRPr="0016580C" w:rsidRDefault="00D672D0" w:rsidP="00D672D0">
            <w:pPr>
              <w:pStyle w:val="DPCtabletext"/>
            </w:pPr>
            <w:r w:rsidRPr="0016580C">
              <w:t>B is the number of hours the empl</w:t>
            </w:r>
            <w:r>
              <w:t>oyee worked during the 52 weeks</w:t>
            </w:r>
            <w:r w:rsidRPr="0016580C">
              <w:t xml:space="preserve"> </w:t>
            </w:r>
          </w:p>
          <w:p w:rsidR="00D672D0" w:rsidRPr="0016580C" w:rsidRDefault="00D672D0" w:rsidP="00D672D0">
            <w:pPr>
              <w:pStyle w:val="DPCtabletext"/>
            </w:pPr>
          </w:p>
          <w:p w:rsidR="00D672D0" w:rsidRPr="0016580C" w:rsidRDefault="00D672D0" w:rsidP="00D672D0">
            <w:pPr>
              <w:pStyle w:val="DPCtabletext"/>
            </w:pPr>
            <w:r w:rsidRPr="0016580C">
              <w:t>C is the number of hours in respect of which the employee took</w:t>
            </w:r>
            <w:r>
              <w:t xml:space="preserve"> paid leave during the 52 weeks</w:t>
            </w:r>
          </w:p>
          <w:p w:rsidR="00D672D0" w:rsidRPr="0016580C" w:rsidRDefault="00D672D0" w:rsidP="00D672D0">
            <w:pPr>
              <w:pStyle w:val="DPCtabletext"/>
            </w:pPr>
          </w:p>
          <w:p w:rsidR="00D672D0" w:rsidRPr="0016580C" w:rsidRDefault="00D672D0" w:rsidP="00D672D0">
            <w:pPr>
              <w:pStyle w:val="DPCtabletext"/>
            </w:pPr>
            <w:r w:rsidRPr="0016580C">
              <w:t>D is the number of weeks the employee took u</w:t>
            </w:r>
            <w:r>
              <w:t>npaid leave during the 52 weeks</w:t>
            </w:r>
          </w:p>
          <w:p w:rsidR="00D672D0" w:rsidRPr="0016580C" w:rsidRDefault="00D672D0" w:rsidP="00D672D0">
            <w:pPr>
              <w:pStyle w:val="DPCtabletext"/>
            </w:pPr>
          </w:p>
          <w:p w:rsidR="00D672D0" w:rsidRPr="0016580C" w:rsidRDefault="00D672D0" w:rsidP="00D672D0">
            <w:pPr>
              <w:pStyle w:val="DPCtabletext"/>
            </w:pPr>
          </w:p>
        </w:tc>
        <w:tc>
          <w:tcPr>
            <w:tcW w:w="3487" w:type="dxa"/>
          </w:tcPr>
          <w:p w:rsidR="00D672D0" w:rsidRPr="0016580C" w:rsidRDefault="00D672D0" w:rsidP="00D672D0">
            <w:pPr>
              <w:pStyle w:val="DPCtabletext"/>
            </w:pPr>
          </w:p>
          <w:p w:rsidR="00D672D0" w:rsidRPr="0016580C" w:rsidRDefault="00D672D0" w:rsidP="00D672D0">
            <w:pPr>
              <w:pStyle w:val="DPCtabletext"/>
            </w:pPr>
            <w:r w:rsidRPr="0016580C">
              <w:t>A is the employee's</w:t>
            </w:r>
            <w:r>
              <w:t xml:space="preserve"> average weekly number of hours</w:t>
            </w:r>
          </w:p>
          <w:p w:rsidR="00D672D0" w:rsidRPr="0016580C" w:rsidRDefault="00D672D0" w:rsidP="00D672D0">
            <w:pPr>
              <w:pStyle w:val="DPCtabletext"/>
            </w:pPr>
          </w:p>
          <w:p w:rsidR="00D672D0" w:rsidRPr="0016580C" w:rsidRDefault="00D672D0" w:rsidP="00D672D0">
            <w:pPr>
              <w:pStyle w:val="DPCtabletext"/>
            </w:pPr>
            <w:r w:rsidRPr="0016580C">
              <w:t>B is the number of hours the emplo</w:t>
            </w:r>
            <w:r>
              <w:t>yee worked during the 260 weeks</w:t>
            </w:r>
          </w:p>
          <w:p w:rsidR="00D672D0" w:rsidRPr="0016580C" w:rsidRDefault="00D672D0" w:rsidP="00D672D0">
            <w:pPr>
              <w:pStyle w:val="DPCtabletext"/>
            </w:pPr>
          </w:p>
          <w:p w:rsidR="00D672D0" w:rsidRPr="0016580C" w:rsidRDefault="00D672D0" w:rsidP="00D672D0">
            <w:pPr>
              <w:pStyle w:val="DPCtabletext"/>
            </w:pPr>
            <w:r w:rsidRPr="0016580C">
              <w:t>C is the number of hours in respect of which the employee took paid leave during the 260 weeks</w:t>
            </w:r>
          </w:p>
          <w:p w:rsidR="00D672D0" w:rsidRPr="0016580C" w:rsidRDefault="00D672D0" w:rsidP="00D672D0">
            <w:pPr>
              <w:pStyle w:val="DPCtabletext"/>
            </w:pPr>
          </w:p>
          <w:p w:rsidR="00D672D0" w:rsidRPr="0016580C" w:rsidRDefault="00D672D0" w:rsidP="00D672D0">
            <w:pPr>
              <w:pStyle w:val="DPCtabletext"/>
            </w:pPr>
            <w:r w:rsidRPr="0016580C">
              <w:t xml:space="preserve">D is the number of weeks the </w:t>
            </w:r>
          </w:p>
          <w:p w:rsidR="00D672D0" w:rsidRPr="0016580C" w:rsidRDefault="00D672D0" w:rsidP="00D672D0">
            <w:pPr>
              <w:pStyle w:val="DPCtabletext"/>
            </w:pPr>
            <w:r w:rsidRPr="0016580C">
              <w:t>Employee took unp</w:t>
            </w:r>
            <w:r>
              <w:t>aid leave during the 260 weeks</w:t>
            </w:r>
          </w:p>
          <w:p w:rsidR="00D672D0" w:rsidRPr="0016580C" w:rsidRDefault="00D672D0" w:rsidP="00D672D0">
            <w:pPr>
              <w:pStyle w:val="DPCtabletext"/>
            </w:pPr>
          </w:p>
        </w:tc>
        <w:tc>
          <w:tcPr>
            <w:tcW w:w="3487" w:type="dxa"/>
          </w:tcPr>
          <w:p w:rsidR="00D672D0" w:rsidRPr="0016580C" w:rsidRDefault="00D672D0" w:rsidP="00D672D0">
            <w:pPr>
              <w:pStyle w:val="DPCtabletext"/>
            </w:pPr>
          </w:p>
          <w:p w:rsidR="00D672D0" w:rsidRPr="0016580C" w:rsidRDefault="00D672D0" w:rsidP="00D672D0">
            <w:pPr>
              <w:pStyle w:val="DPCtabletext"/>
            </w:pPr>
            <w:r w:rsidRPr="0016580C">
              <w:t>A is the employee's</w:t>
            </w:r>
            <w:r>
              <w:t xml:space="preserve"> average weekly number of hours</w:t>
            </w:r>
          </w:p>
          <w:p w:rsidR="00D672D0" w:rsidRPr="0016580C" w:rsidRDefault="00D672D0" w:rsidP="00D672D0">
            <w:pPr>
              <w:pStyle w:val="DPCtabletext"/>
            </w:pPr>
          </w:p>
          <w:p w:rsidR="00D672D0" w:rsidRPr="0016580C" w:rsidRDefault="00D672D0" w:rsidP="00D672D0">
            <w:pPr>
              <w:pStyle w:val="DPCtabletext"/>
            </w:pPr>
            <w:r w:rsidRPr="0016580C">
              <w:t xml:space="preserve">B is the number of hours the employee worked during the last </w:t>
            </w:r>
            <w:r>
              <w:t>period of continuous employment</w:t>
            </w:r>
          </w:p>
          <w:p w:rsidR="00D672D0" w:rsidRPr="0016580C" w:rsidRDefault="00D672D0" w:rsidP="00D672D0">
            <w:pPr>
              <w:pStyle w:val="DPCtabletext"/>
            </w:pPr>
          </w:p>
          <w:p w:rsidR="00D672D0" w:rsidRPr="0016580C" w:rsidRDefault="00D672D0" w:rsidP="00D672D0">
            <w:pPr>
              <w:pStyle w:val="DPCtabletext"/>
            </w:pPr>
            <w:r w:rsidRPr="0016580C">
              <w:t xml:space="preserve">C is the number of hours in respect of which the employee took paid leave during the last period of continuous </w:t>
            </w:r>
          </w:p>
          <w:p w:rsidR="00D672D0" w:rsidRPr="0016580C" w:rsidRDefault="00D672D0" w:rsidP="00D672D0">
            <w:pPr>
              <w:pStyle w:val="DPCtabletext"/>
            </w:pPr>
            <w:r>
              <w:t>employment</w:t>
            </w:r>
          </w:p>
          <w:p w:rsidR="00D672D0" w:rsidRPr="0016580C" w:rsidRDefault="00D672D0" w:rsidP="00D672D0">
            <w:pPr>
              <w:pStyle w:val="DPCtabletext"/>
            </w:pPr>
          </w:p>
          <w:p w:rsidR="00D672D0" w:rsidRPr="0016580C" w:rsidRDefault="00D672D0" w:rsidP="00D672D0">
            <w:pPr>
              <w:pStyle w:val="DPCtabletext"/>
            </w:pPr>
            <w:r w:rsidRPr="0016580C">
              <w:t xml:space="preserve">D is the number of weeks of the </w:t>
            </w:r>
          </w:p>
          <w:p w:rsidR="00D672D0" w:rsidRPr="0016580C" w:rsidRDefault="00D672D0" w:rsidP="00D672D0">
            <w:pPr>
              <w:pStyle w:val="DPCtabletext"/>
            </w:pPr>
            <w:r w:rsidRPr="0016580C">
              <w:t xml:space="preserve">employee's last </w:t>
            </w:r>
            <w:r>
              <w:t>period of continuous employment</w:t>
            </w:r>
          </w:p>
          <w:p w:rsidR="00D672D0" w:rsidRPr="0016580C" w:rsidRDefault="00D672D0" w:rsidP="00D672D0">
            <w:pPr>
              <w:pStyle w:val="DPCtabletext"/>
            </w:pPr>
          </w:p>
          <w:p w:rsidR="00D672D0" w:rsidRPr="0016580C" w:rsidRDefault="00D672D0" w:rsidP="00D672D0">
            <w:pPr>
              <w:pStyle w:val="DPCtabletext"/>
            </w:pPr>
            <w:r w:rsidRPr="0016580C">
              <w:t xml:space="preserve">E is the number of weeks the employee took unpaid leave during the last period </w:t>
            </w:r>
          </w:p>
          <w:p w:rsidR="00D672D0" w:rsidRPr="0016580C" w:rsidRDefault="00D672D0" w:rsidP="00D672D0">
            <w:pPr>
              <w:pStyle w:val="DPCtabletext"/>
            </w:pPr>
            <w:r w:rsidRPr="0016580C">
              <w:t>of continuous employment.</w:t>
            </w:r>
          </w:p>
          <w:p w:rsidR="00D672D0" w:rsidRPr="0016580C" w:rsidRDefault="00D672D0" w:rsidP="00D672D0">
            <w:pPr>
              <w:pStyle w:val="DPCtabletext"/>
            </w:pPr>
          </w:p>
        </w:tc>
      </w:tr>
    </w:tbl>
    <w:p w:rsidR="00D672D0" w:rsidRDefault="00D672D0" w:rsidP="00D672D0">
      <w:pPr>
        <w:rPr>
          <w:rFonts w:cs="Arial"/>
        </w:rPr>
      </w:pPr>
    </w:p>
    <w:p w:rsidR="00D672D0" w:rsidRPr="00A50CD6" w:rsidRDefault="00D672D0" w:rsidP="00D672D0">
      <w:pPr>
        <w:pStyle w:val="DPCbody"/>
      </w:pPr>
      <w:r w:rsidRPr="00A50CD6">
        <w:t>Once the average weekly hours are calculated, these are paid at the employee’s ordinary time rate of pay.</w:t>
      </w:r>
    </w:p>
    <w:p w:rsidR="00D672D0" w:rsidRPr="00A50CD6" w:rsidRDefault="00D672D0" w:rsidP="00D672D0">
      <w:pPr>
        <w:widowControl w:val="0"/>
        <w:tabs>
          <w:tab w:val="left" w:pos="0"/>
        </w:tabs>
        <w:ind w:right="-430"/>
        <w:rPr>
          <w:szCs w:val="20"/>
          <w:lang w:val="en-US"/>
        </w:rPr>
      </w:pPr>
    </w:p>
    <w:p w:rsidR="00D672D0" w:rsidRDefault="00D672D0" w:rsidP="00D672D0">
      <w:pPr>
        <w:pStyle w:val="heading2black"/>
      </w:pPr>
    </w:p>
    <w:p w:rsidR="00D672D0" w:rsidRDefault="00D672D0" w:rsidP="00D672D0">
      <w:pPr>
        <w:rPr>
          <w:rFonts w:cs="Arial"/>
          <w:b/>
          <w:szCs w:val="20"/>
        </w:rPr>
      </w:pPr>
      <w:r>
        <w:br w:type="page"/>
      </w:r>
    </w:p>
    <w:p w:rsidR="00D672D0" w:rsidRPr="009F07C4" w:rsidRDefault="00D672D0" w:rsidP="00D672D0">
      <w:pPr>
        <w:pStyle w:val="Heading4"/>
      </w:pPr>
      <w:r w:rsidRPr="00A50CD6">
        <w:lastRenderedPageBreak/>
        <w:t>Averaging ordinary time rate of pay</w:t>
      </w:r>
    </w:p>
    <w:p w:rsidR="00D672D0" w:rsidRDefault="00D672D0" w:rsidP="00D672D0">
      <w:pPr>
        <w:pStyle w:val="DPCbody"/>
      </w:pPr>
      <w:r w:rsidRPr="00A50CD6">
        <w:t>If the employee does not have an ‘ordinary time rate’</w:t>
      </w:r>
      <w:r>
        <w:t xml:space="preserve"> of pay</w:t>
      </w:r>
      <w:r w:rsidRPr="00A50CD6">
        <w:t xml:space="preserve">, perhaps due to being paid by commission or piece work rates, then averaging requirements apply. The ordinary time rate </w:t>
      </w:r>
      <w:r>
        <w:t xml:space="preserve">of pay for such employees </w:t>
      </w:r>
      <w:r w:rsidRPr="00A50CD6">
        <w:t>will be the greatest of:</w:t>
      </w:r>
    </w:p>
    <w:p w:rsidR="00D672D0" w:rsidRPr="00A50CD6" w:rsidRDefault="00D672D0" w:rsidP="00D672D0">
      <w:pPr>
        <w:pStyle w:val="DPCbullet1"/>
      </w:pPr>
      <w:r w:rsidRPr="00A50CD6">
        <w:t>the average weekly rate earned by the employee in the 52 weeks immediately before the employee starts long service leave;</w:t>
      </w:r>
    </w:p>
    <w:p w:rsidR="00D672D0" w:rsidRPr="00A50CD6" w:rsidRDefault="00D672D0" w:rsidP="00D672D0">
      <w:pPr>
        <w:pStyle w:val="DPCbullet1"/>
      </w:pPr>
      <w:r w:rsidRPr="00A50CD6">
        <w:t>the average weekly rate earned by the employee in the 260 weeks immediately before the employee starts long service leave;</w:t>
      </w:r>
    </w:p>
    <w:p w:rsidR="00D672D0" w:rsidRDefault="00D672D0" w:rsidP="00D672D0">
      <w:pPr>
        <w:pStyle w:val="DPCbullet1"/>
      </w:pPr>
      <w:r w:rsidRPr="00A50CD6">
        <w:t>the average weekly rate earned by the employee during the employee’s entire period of continuous employment with the employer immediately before the employee starts long service leave.</w:t>
      </w:r>
    </w:p>
    <w:p w:rsidR="00D672D0" w:rsidRDefault="00D672D0" w:rsidP="00D672D0">
      <w:pPr>
        <w:pStyle w:val="DPCbody"/>
      </w:pPr>
      <w:r>
        <w:t xml:space="preserve">*Note: </w:t>
      </w:r>
      <w:r w:rsidRPr="00A50CD6">
        <w:t xml:space="preserve">A casual employee’s ordinary </w:t>
      </w:r>
      <w:r>
        <w:t xml:space="preserve">time </w:t>
      </w:r>
      <w:r w:rsidRPr="00A50CD6">
        <w:t xml:space="preserve">rate </w:t>
      </w:r>
      <w:r>
        <w:t xml:space="preserve">of pay </w:t>
      </w:r>
      <w:r w:rsidRPr="00A50CD6">
        <w:t>includes the casual loading</w:t>
      </w:r>
    </w:p>
    <w:p w:rsidR="00D672D0" w:rsidRPr="00A50CD6" w:rsidRDefault="00D672D0" w:rsidP="00D672D0">
      <w:pPr>
        <w:pStyle w:val="DPCbody"/>
        <w:rPr>
          <w:rFonts w:eastAsiaTheme="minorHAnsi"/>
        </w:rPr>
      </w:pPr>
      <w:r w:rsidRPr="00A50CD6">
        <w:rPr>
          <w:rFonts w:eastAsiaTheme="minorHAnsi"/>
        </w:rPr>
        <w:t>See</w:t>
      </w:r>
      <w:r>
        <w:rPr>
          <w:rFonts w:eastAsiaTheme="minorHAnsi"/>
        </w:rPr>
        <w:t xml:space="preserve"> the</w:t>
      </w:r>
      <w:r w:rsidRPr="00A50CD6">
        <w:rPr>
          <w:rFonts w:eastAsiaTheme="minorHAnsi"/>
        </w:rPr>
        <w:t xml:space="preserve"> </w:t>
      </w:r>
      <w:r w:rsidRPr="00087921">
        <w:rPr>
          <w:rFonts w:eastAsiaTheme="minorHAnsi"/>
          <w:i/>
        </w:rPr>
        <w:t>Comprehensive Guide to Long Service Leave Act 2018</w:t>
      </w:r>
      <w:r>
        <w:rPr>
          <w:rFonts w:eastAsiaTheme="minorHAnsi"/>
        </w:rPr>
        <w:t xml:space="preserve"> </w:t>
      </w:r>
      <w:r w:rsidRPr="00A50CD6">
        <w:rPr>
          <w:rFonts w:eastAsiaTheme="minorHAnsi"/>
        </w:rPr>
        <w:t>for more detailed explanations and case studies</w:t>
      </w:r>
      <w:r>
        <w:rPr>
          <w:rFonts w:eastAsiaTheme="minorHAnsi"/>
        </w:rPr>
        <w:t>.</w:t>
      </w:r>
    </w:p>
    <w:p w:rsidR="00D672D0" w:rsidRPr="009F07C4" w:rsidRDefault="00D672D0" w:rsidP="00D672D0">
      <w:pPr>
        <w:pStyle w:val="Heading4"/>
      </w:pPr>
      <w:r w:rsidRPr="009F07C4">
        <w:t>Cashing out prohibited</w:t>
      </w:r>
    </w:p>
    <w:p w:rsidR="00D672D0" w:rsidRPr="00A50CD6" w:rsidRDefault="00D672D0" w:rsidP="00D672D0">
      <w:pPr>
        <w:pStyle w:val="DPCbody"/>
        <w:rPr>
          <w:rFonts w:eastAsiaTheme="minorHAnsi"/>
        </w:rPr>
      </w:pPr>
      <w:r w:rsidRPr="00A50CD6">
        <w:rPr>
          <w:rFonts w:eastAsiaTheme="minorHAnsi"/>
        </w:rPr>
        <w:t>Long service leave cannot be cashed out. The only time it is paid out is at the end of employment, if accrued and not yet taken.</w:t>
      </w:r>
    </w:p>
    <w:p w:rsidR="00BA224E" w:rsidRPr="00BA224E" w:rsidRDefault="00BA224E" w:rsidP="00BA224E">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 xml:space="preserve">The 2018 Comprehensive Guide is available to download at </w:t>
      </w:r>
      <w:hyperlink r:id="rId16" w:history="1">
        <w:r w:rsidR="00D672D0" w:rsidRPr="00B02B4A">
          <w:rPr>
            <w:rStyle w:val="Hyperlink"/>
            <w:szCs w:val="20"/>
          </w:rPr>
          <w:t>business.vic.gov.au/</w:t>
        </w:r>
        <w:proofErr w:type="spellStart"/>
        <w:r w:rsidR="00D672D0" w:rsidRPr="00B02B4A">
          <w:rPr>
            <w:rStyle w:val="Hyperlink"/>
            <w:szCs w:val="20"/>
          </w:rPr>
          <w:t>longserviceleave</w:t>
        </w:r>
        <w:proofErr w:type="spellEnd"/>
      </w:hyperlink>
      <w:r w:rsidRPr="00BA224E">
        <w:t xml:space="preserve"> or call </w:t>
      </w:r>
      <w:r w:rsidRPr="00D672D0">
        <w:rPr>
          <w:b/>
        </w:rPr>
        <w:t>1800 287 287</w:t>
      </w:r>
      <w:r w:rsidRPr="00BA224E">
        <w:t xml:space="preserve"> for a co</w:t>
      </w:r>
      <w:bookmarkStart w:id="0" w:name="_GoBack"/>
      <w:bookmarkEnd w:id="0"/>
      <w:r w:rsidRPr="00BA224E">
        <w:t>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7" w:history="1">
        <w:r w:rsidRPr="00B02B4A">
          <w:rPr>
            <w:rStyle w:val="Hyperlink"/>
            <w:szCs w:val="20"/>
          </w:rPr>
          <w:t>business.vic.gov.au/</w:t>
        </w:r>
        <w:proofErr w:type="spellStart"/>
        <w:r w:rsidRPr="00B02B4A">
          <w:rPr>
            <w:rStyle w:val="Hyperlink"/>
            <w:szCs w:val="20"/>
          </w:rPr>
          <w:t>longserviceleave</w:t>
        </w:r>
        <w:proofErr w:type="spellEnd"/>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8"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r w:rsidRPr="00077BA9">
        <w:rPr>
          <w:i/>
          <w:color w:val="7F7F7F" w:themeColor="text1" w:themeTint="80"/>
        </w:rPr>
        <w:t>These documents are for information purposes only. The documents do not constitute legal advice and should not be relied upon as legal advice. Should you have any concerns or 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8F3389">
          <w:footerReference w:type="default" r:id="rId19"/>
          <w:headerReference w:type="first" r:id="rId20"/>
          <w:footerReference w:type="first" r:id="rId21"/>
          <w:type w:val="continuous"/>
          <w:pgSz w:w="11906" w:h="16838"/>
          <w:pgMar w:top="748" w:right="1440" w:bottom="1474" w:left="1440" w:header="1361" w:footer="567" w:gutter="0"/>
          <w:cols w:space="708"/>
          <w:docGrid w:linePitch="360"/>
        </w:sectPr>
      </w:pPr>
      <w:r w:rsidRPr="00077BA9">
        <w:rPr>
          <w:i/>
          <w:color w:val="7F7F7F" w:themeColor="text1" w:themeTint="80"/>
        </w:rPr>
        <w:lastRenderedPageBreak/>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22"/>
      <w:footerReference w:type="default" r:id="rId23"/>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8240"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266640"/>
      <w:docPartObj>
        <w:docPartGallery w:val="Page Numbers (Bottom of Page)"/>
        <w:docPartUnique/>
      </w:docPartObj>
    </w:sdtPr>
    <w:sdtEndPr/>
    <w:sdtContent>
      <w:sdt>
        <w:sdtPr>
          <w:id w:val="1817292440"/>
          <w:docPartObj>
            <w:docPartGallery w:val="Page Numbers (Top of Page)"/>
            <w:docPartUnique/>
          </w:docPartObj>
        </w:sdtPr>
        <w:sdtEndPr/>
        <w:sdtContent>
          <w:p w:rsidR="00D672D0" w:rsidRDefault="007F3B6D" w:rsidP="00D672D0">
            <w:pPr>
              <w:pStyle w:val="Footer"/>
              <w:tabs>
                <w:tab w:val="right" w:pos="9072"/>
              </w:tabs>
              <w:jc w:val="center"/>
              <w:rPr>
                <w:b/>
                <w:bCs/>
              </w:rPr>
            </w:pPr>
            <w:r>
              <w:rPr>
                <w:noProof/>
                <w:lang w:eastAsia="en-AU"/>
              </w:rPr>
              <w:drawing>
                <wp:anchor distT="0" distB="0" distL="114300" distR="114300" simplePos="0" relativeHeight="251656192"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1" name="Picture 1"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p>
          <w:p w:rsidR="004878E1" w:rsidRPr="00F62A4A" w:rsidRDefault="004878E1" w:rsidP="00C13DF9">
            <w:pPr>
              <w:pStyle w:val="Footer"/>
              <w:tabs>
                <w:tab w:val="right" w:pos="9072"/>
              </w:tabs>
              <w:jc w:val="center"/>
            </w:pPr>
            <w:r>
              <w:rPr>
                <w:b/>
                <w:bCs/>
              </w:rPr>
              <w:tab/>
            </w:r>
            <w:r>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5168"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0288"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7" type="#_x0000_t202" style="position:absolute;margin-left:-49pt;margin-top:-45.05pt;width:372.2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7216"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2F187A5F"/>
    <w:multiLevelType w:val="hybridMultilevel"/>
    <w:tmpl w:val="3ED86F6A"/>
    <w:lvl w:ilvl="0" w:tplc="2130A750">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FD5DB0"/>
    <w:multiLevelType w:val="hybridMultilevel"/>
    <w:tmpl w:val="D6C6E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B5341"/>
    <w:multiLevelType w:val="hybridMultilevel"/>
    <w:tmpl w:val="754A1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91E39DB"/>
    <w:multiLevelType w:val="hybridMultilevel"/>
    <w:tmpl w:val="72F2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14422"/>
    <w:multiLevelType w:val="hybridMultilevel"/>
    <w:tmpl w:val="6C94070E"/>
    <w:lvl w:ilvl="0" w:tplc="4D089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F591911"/>
    <w:multiLevelType w:val="hybridMultilevel"/>
    <w:tmpl w:val="1994C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BE0EB6"/>
    <w:multiLevelType w:val="hybridMultilevel"/>
    <w:tmpl w:val="4C20CBC8"/>
    <w:lvl w:ilvl="0" w:tplc="B1E89CBC">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5"/>
  </w:num>
  <w:num w:numId="10">
    <w:abstractNumId w:val="1"/>
  </w:num>
  <w:num w:numId="11">
    <w:abstractNumId w:val="12"/>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1"/>
  </w:num>
  <w:num w:numId="20">
    <w:abstractNumId w:val="7"/>
  </w:num>
  <w:num w:numId="21">
    <w:abstractNumId w:val="8"/>
  </w:num>
  <w:num w:numId="22">
    <w:abstractNumId w:val="6"/>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2D1E"/>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C88"/>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2D0A"/>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3389"/>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8E4"/>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1456"/>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21D81"/>
    <w:rsid w:val="00D33E72"/>
    <w:rsid w:val="00D35BD6"/>
    <w:rsid w:val="00D361B5"/>
    <w:rsid w:val="00D411A2"/>
    <w:rsid w:val="00D50B9C"/>
    <w:rsid w:val="00D52D73"/>
    <w:rsid w:val="00D52E58"/>
    <w:rsid w:val="00D56C68"/>
    <w:rsid w:val="00D672D0"/>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22"/>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318BD0"/>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uiPriority w:val="99"/>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uiPriority w:val="99"/>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mailto:longserviceleave@dpc.vic.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business.vic.gov.au/longservicelea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usiness.vic.gov.au/longserviceleav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7CBC4-89C0-4949-AF53-E549182B01CE}"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AU"/>
        </a:p>
      </dgm:t>
    </dgm:pt>
    <dgm:pt modelId="{AA7785E0-49D0-4E90-A7EF-D9692CB62582}">
      <dgm:prSet phldrT="[Text]"/>
      <dgm:spPr>
        <a:solidFill>
          <a:srgbClr val="0070C0"/>
        </a:solidFill>
      </dgm:spPr>
      <dgm:t>
        <a:bodyPr anchor="t" anchorCtr="0"/>
        <a:lstStyle/>
        <a:p>
          <a:pPr marL="72000" algn="l"/>
          <a:r>
            <a:rPr lang="en-AU" b="1">
              <a:solidFill>
                <a:schemeClr val="bg1"/>
              </a:solidFill>
            </a:rPr>
            <a:t>Step 2</a:t>
          </a:r>
          <a:endParaRPr lang="en-AU">
            <a:solidFill>
              <a:schemeClr val="bg1"/>
            </a:solidFill>
          </a:endParaRPr>
        </a:p>
        <a:p>
          <a:pPr marL="72000" algn="l"/>
          <a:r>
            <a:rPr lang="en-AU">
              <a:solidFill>
                <a:schemeClr val="bg1"/>
              </a:solidFill>
            </a:rPr>
            <a:t>Subtract the number of weeks of unpaid leave taken over the entire period of continuous employment (if any) from the number of weeks worked in that period</a:t>
          </a:r>
        </a:p>
      </dgm:t>
    </dgm:pt>
    <dgm:pt modelId="{EFD6563E-C930-4709-AA19-A53441A5C7A3}" type="parTrans" cxnId="{BB0A833F-E35F-4552-AD2D-85D0821E30C1}">
      <dgm:prSet/>
      <dgm:spPr/>
      <dgm:t>
        <a:bodyPr/>
        <a:lstStyle/>
        <a:p>
          <a:endParaRPr lang="en-AU">
            <a:solidFill>
              <a:schemeClr val="accent1">
                <a:lumMod val="60000"/>
                <a:lumOff val="40000"/>
              </a:schemeClr>
            </a:solidFill>
          </a:endParaRPr>
        </a:p>
      </dgm:t>
    </dgm:pt>
    <dgm:pt modelId="{E984147B-04A8-4DCB-8FDC-27A8761396C0}" type="sibTrans" cxnId="{BB0A833F-E35F-4552-AD2D-85D0821E30C1}">
      <dgm:prSet/>
      <dgm:spPr/>
      <dgm:t>
        <a:bodyPr/>
        <a:lstStyle/>
        <a:p>
          <a:endParaRPr lang="en-AU">
            <a:solidFill>
              <a:schemeClr val="accent1">
                <a:lumMod val="60000"/>
                <a:lumOff val="40000"/>
              </a:schemeClr>
            </a:solidFill>
          </a:endParaRPr>
        </a:p>
      </dgm:t>
    </dgm:pt>
    <dgm:pt modelId="{CEF84A94-9AAC-44DA-8478-BE542E9DE062}">
      <dgm:prSet phldrT="[Text]"/>
      <dgm:spPr>
        <a:solidFill>
          <a:schemeClr val="tx2">
            <a:lumMod val="60000"/>
            <a:lumOff val="40000"/>
            <a:alpha val="90000"/>
          </a:schemeClr>
        </a:solidFill>
      </dgm:spPr>
      <dgm:t>
        <a:bodyPr anchor="t" anchorCtr="0"/>
        <a:lstStyle/>
        <a:p>
          <a:pPr marL="72000" algn="l"/>
          <a:r>
            <a:rPr lang="en-AU" b="1">
              <a:solidFill>
                <a:schemeClr val="bg1"/>
              </a:solidFill>
            </a:rPr>
            <a:t>Step 3</a:t>
          </a:r>
          <a:endParaRPr lang="en-AU">
            <a:solidFill>
              <a:schemeClr val="bg1"/>
            </a:solidFill>
          </a:endParaRPr>
        </a:p>
        <a:p>
          <a:pPr marL="72000" algn="l"/>
          <a:r>
            <a:rPr lang="en-AU">
              <a:solidFill>
                <a:schemeClr val="bg1"/>
              </a:solidFill>
            </a:rPr>
            <a:t>Divide the answer you got at step 1 by the answer you got at step 2</a:t>
          </a:r>
        </a:p>
      </dgm:t>
    </dgm:pt>
    <dgm:pt modelId="{94B813D0-FD12-4CB0-8191-C918156B19BF}" type="parTrans" cxnId="{9978EF9C-6C41-4F01-B0F3-884865F856C3}">
      <dgm:prSet/>
      <dgm:spPr/>
      <dgm:t>
        <a:bodyPr/>
        <a:lstStyle/>
        <a:p>
          <a:endParaRPr lang="en-AU"/>
        </a:p>
      </dgm:t>
    </dgm:pt>
    <dgm:pt modelId="{04D9964A-B1C3-4D11-BDEC-95095382ED3D}" type="sibTrans" cxnId="{9978EF9C-6C41-4F01-B0F3-884865F856C3}">
      <dgm:prSet/>
      <dgm:spPr/>
      <dgm:t>
        <a:bodyPr/>
        <a:lstStyle/>
        <a:p>
          <a:endParaRPr lang="en-AU"/>
        </a:p>
      </dgm:t>
    </dgm:pt>
    <dgm:pt modelId="{16441376-8438-4587-9A40-2CDC436B0A2C}">
      <dgm:prSet phldrT="[Text]"/>
      <dgm:spPr>
        <a:solidFill>
          <a:schemeClr val="accent1">
            <a:lumMod val="75000"/>
          </a:schemeClr>
        </a:solidFill>
      </dgm:spPr>
      <dgm:t>
        <a:bodyPr anchor="t" anchorCtr="0"/>
        <a:lstStyle/>
        <a:p>
          <a:pPr marL="72000" algn="l"/>
          <a:r>
            <a:rPr lang="en-AU" b="1"/>
            <a:t>Step 1</a:t>
          </a:r>
          <a:endParaRPr lang="en-AU"/>
        </a:p>
        <a:p>
          <a:pPr marL="72000" algn="l"/>
          <a:r>
            <a:rPr lang="en-AU"/>
            <a:t>Add the number of hours worked in the last 52 weeks to the number of hours of paid leave in the last 52 weeks</a:t>
          </a:r>
        </a:p>
      </dgm:t>
    </dgm:pt>
    <dgm:pt modelId="{DE16D9B4-F842-4B4A-98D0-9E5E4B917C54}" type="parTrans" cxnId="{A22F6A44-2127-49B6-A6E9-31ED76B1AA75}">
      <dgm:prSet/>
      <dgm:spPr/>
      <dgm:t>
        <a:bodyPr/>
        <a:lstStyle/>
        <a:p>
          <a:endParaRPr lang="en-AU"/>
        </a:p>
      </dgm:t>
    </dgm:pt>
    <dgm:pt modelId="{41F8938F-AF6C-4952-B50E-EB65FE153130}" type="sibTrans" cxnId="{A22F6A44-2127-49B6-A6E9-31ED76B1AA75}">
      <dgm:prSet/>
      <dgm:spPr/>
      <dgm:t>
        <a:bodyPr/>
        <a:lstStyle/>
        <a:p>
          <a:endParaRPr lang="en-AU"/>
        </a:p>
      </dgm:t>
    </dgm:pt>
    <dgm:pt modelId="{A5561F56-8ECC-4F51-9754-081B417D6CE6}">
      <dgm:prSet phldrT="[Text]"/>
      <dgm:spPr>
        <a:solidFill>
          <a:srgbClr val="0070C0"/>
        </a:solidFill>
      </dgm:spPr>
      <dgm:t>
        <a:bodyPr anchor="t" anchorCtr="0"/>
        <a:lstStyle/>
        <a:p>
          <a:pPr marL="72000" algn="l"/>
          <a:r>
            <a:rPr lang="en-AU" b="1">
              <a:solidFill>
                <a:schemeClr val="bg1"/>
              </a:solidFill>
            </a:rPr>
            <a:t>Step 2</a:t>
          </a:r>
          <a:endParaRPr lang="en-AU">
            <a:solidFill>
              <a:schemeClr val="bg1"/>
            </a:solidFill>
          </a:endParaRPr>
        </a:p>
        <a:p>
          <a:pPr marL="72000" algn="l"/>
          <a:r>
            <a:rPr lang="en-AU">
              <a:solidFill>
                <a:schemeClr val="bg1"/>
              </a:solidFill>
            </a:rPr>
            <a:t>Subtract the number of weeks of unpaid leave taken in the last 52 weeks (if any) from 52</a:t>
          </a:r>
        </a:p>
      </dgm:t>
    </dgm:pt>
    <dgm:pt modelId="{FB00482D-89F8-4DD4-93E3-9991DC4FCEBB}" type="sibTrans" cxnId="{3EB10538-C450-4042-99CA-9796AB4BDA6E}">
      <dgm:prSet/>
      <dgm:spPr>
        <a:solidFill>
          <a:schemeClr val="accent1">
            <a:lumMod val="60000"/>
            <a:lumOff val="40000"/>
          </a:schemeClr>
        </a:solidFill>
      </dgm:spPr>
      <dgm:t>
        <a:bodyPr/>
        <a:lstStyle/>
        <a:p>
          <a:endParaRPr lang="en-AU">
            <a:solidFill>
              <a:schemeClr val="accent1">
                <a:lumMod val="60000"/>
                <a:lumOff val="40000"/>
              </a:schemeClr>
            </a:solidFill>
          </a:endParaRPr>
        </a:p>
      </dgm:t>
    </dgm:pt>
    <dgm:pt modelId="{796D7CEC-5ACE-4B02-A9E7-6036A656634D}" type="parTrans" cxnId="{3EB10538-C450-4042-99CA-9796AB4BDA6E}">
      <dgm:prSet/>
      <dgm:spPr/>
      <dgm:t>
        <a:bodyPr/>
        <a:lstStyle/>
        <a:p>
          <a:endParaRPr lang="en-AU">
            <a:solidFill>
              <a:schemeClr val="accent1">
                <a:lumMod val="60000"/>
                <a:lumOff val="40000"/>
              </a:schemeClr>
            </a:solidFill>
          </a:endParaRPr>
        </a:p>
      </dgm:t>
    </dgm:pt>
    <dgm:pt modelId="{1EFAA22E-1557-48AC-AC7B-618F4498210A}">
      <dgm:prSet phldrT="[Text]"/>
      <dgm:spPr>
        <a:solidFill>
          <a:schemeClr val="tx2">
            <a:lumMod val="60000"/>
            <a:lumOff val="40000"/>
            <a:alpha val="90000"/>
          </a:schemeClr>
        </a:solidFill>
      </dgm:spPr>
      <dgm:t>
        <a:bodyPr anchor="t" anchorCtr="0"/>
        <a:lstStyle/>
        <a:p>
          <a:pPr marL="72000" algn="l"/>
          <a:r>
            <a:rPr lang="en-AU" b="1">
              <a:solidFill>
                <a:schemeClr val="bg1"/>
              </a:solidFill>
            </a:rPr>
            <a:t>Step 3</a:t>
          </a:r>
          <a:endParaRPr lang="en-AU">
            <a:solidFill>
              <a:schemeClr val="bg1"/>
            </a:solidFill>
          </a:endParaRPr>
        </a:p>
        <a:p>
          <a:pPr marL="72000" algn="l"/>
          <a:r>
            <a:rPr lang="en-AU">
              <a:solidFill>
                <a:schemeClr val="bg1"/>
              </a:solidFill>
            </a:rPr>
            <a:t>Divide the answer you got at step 1 by the answer you got at step 2</a:t>
          </a:r>
        </a:p>
      </dgm:t>
    </dgm:pt>
    <dgm:pt modelId="{874F5238-3BDB-43F4-8DE8-7AC6C1CD56A4}" type="sibTrans" cxnId="{7E4B7114-1723-44FF-ABAD-187D2FD1F4F8}">
      <dgm:prSet/>
      <dgm:spPr/>
      <dgm:t>
        <a:bodyPr/>
        <a:lstStyle/>
        <a:p>
          <a:endParaRPr lang="en-AU"/>
        </a:p>
      </dgm:t>
    </dgm:pt>
    <dgm:pt modelId="{D0833D13-6241-4051-A4EF-EA7948489D85}" type="parTrans" cxnId="{7E4B7114-1723-44FF-ABAD-187D2FD1F4F8}">
      <dgm:prSet/>
      <dgm:spPr/>
      <dgm:t>
        <a:bodyPr/>
        <a:lstStyle/>
        <a:p>
          <a:endParaRPr lang="en-AU"/>
        </a:p>
      </dgm:t>
    </dgm:pt>
    <dgm:pt modelId="{B34B646B-416B-454B-8D71-4325626770F2}">
      <dgm:prSet/>
      <dgm:spPr>
        <a:solidFill>
          <a:schemeClr val="tx2">
            <a:lumMod val="60000"/>
            <a:lumOff val="40000"/>
            <a:alpha val="90000"/>
          </a:schemeClr>
        </a:solidFill>
      </dgm:spPr>
      <dgm:t>
        <a:bodyPr anchor="t" anchorCtr="0"/>
        <a:lstStyle/>
        <a:p>
          <a:pPr marL="72000" algn="l"/>
          <a:r>
            <a:rPr lang="en-AU" b="1">
              <a:solidFill>
                <a:schemeClr val="bg1"/>
              </a:solidFill>
            </a:rPr>
            <a:t>Step 3</a:t>
          </a:r>
          <a:endParaRPr lang="en-AU">
            <a:solidFill>
              <a:schemeClr val="bg1"/>
            </a:solidFill>
          </a:endParaRPr>
        </a:p>
        <a:p>
          <a:pPr marL="72000" algn="l"/>
          <a:r>
            <a:rPr lang="en-AU">
              <a:solidFill>
                <a:schemeClr val="bg1"/>
              </a:solidFill>
            </a:rPr>
            <a:t>Divide the answer you got at step 1 by the answer you got at step 2</a:t>
          </a:r>
        </a:p>
      </dgm:t>
    </dgm:pt>
    <dgm:pt modelId="{3CA8FFAC-9000-4586-BF19-3778FC92CCEF}" type="parTrans" cxnId="{CD1B8984-5E9D-4D6C-8B19-2B82B1E11384}">
      <dgm:prSet/>
      <dgm:spPr/>
      <dgm:t>
        <a:bodyPr/>
        <a:lstStyle/>
        <a:p>
          <a:endParaRPr lang="en-AU"/>
        </a:p>
      </dgm:t>
    </dgm:pt>
    <dgm:pt modelId="{56395F87-156A-485C-BE5E-13CD93974E64}" type="sibTrans" cxnId="{CD1B8984-5E9D-4D6C-8B19-2B82B1E11384}">
      <dgm:prSet/>
      <dgm:spPr/>
      <dgm:t>
        <a:bodyPr/>
        <a:lstStyle/>
        <a:p>
          <a:endParaRPr lang="en-AU"/>
        </a:p>
      </dgm:t>
    </dgm:pt>
    <dgm:pt modelId="{9CC0AD96-7348-4B13-B4D4-0CD105076985}">
      <dgm:prSet/>
      <dgm:spPr>
        <a:solidFill>
          <a:schemeClr val="accent1">
            <a:lumMod val="75000"/>
          </a:schemeClr>
        </a:solidFill>
      </dgm:spPr>
      <dgm:t>
        <a:bodyPr anchor="t" anchorCtr="0"/>
        <a:lstStyle/>
        <a:p>
          <a:pPr marL="72000" algn="l">
            <a:spcBef>
              <a:spcPts val="0"/>
            </a:spcBef>
          </a:pPr>
          <a:r>
            <a:rPr lang="en-AU" b="1"/>
            <a:t>Step 1 </a:t>
          </a:r>
        </a:p>
        <a:p>
          <a:pPr marL="72000" algn="l">
            <a:spcBef>
              <a:spcPts val="0"/>
            </a:spcBef>
          </a:pPr>
          <a:r>
            <a:rPr lang="en-AU"/>
            <a:t>Add the number of hours worked in the last 260 weeks to the number of hours of paid leave in the last 260 weeks</a:t>
          </a:r>
        </a:p>
      </dgm:t>
    </dgm:pt>
    <dgm:pt modelId="{16953CBC-D5C4-44DC-A06C-BDDB5F0600A7}" type="parTrans" cxnId="{D5D11DEF-C8EC-4BAB-BDDC-0365D57A0179}">
      <dgm:prSet/>
      <dgm:spPr/>
      <dgm:t>
        <a:bodyPr/>
        <a:lstStyle/>
        <a:p>
          <a:endParaRPr lang="en-AU"/>
        </a:p>
      </dgm:t>
    </dgm:pt>
    <dgm:pt modelId="{EEF48CC8-652A-445E-95BB-FC6935A27C10}" type="sibTrans" cxnId="{D5D11DEF-C8EC-4BAB-BDDC-0365D57A0179}">
      <dgm:prSet/>
      <dgm:spPr/>
      <dgm:t>
        <a:bodyPr/>
        <a:lstStyle/>
        <a:p>
          <a:endParaRPr lang="en-AU"/>
        </a:p>
      </dgm:t>
    </dgm:pt>
    <dgm:pt modelId="{BBC34F66-6B77-4605-9242-BC7FA401459A}">
      <dgm:prSet phldrT="[Text]"/>
      <dgm:spPr>
        <a:solidFill>
          <a:schemeClr val="accent1">
            <a:lumMod val="75000"/>
          </a:schemeClr>
        </a:solidFill>
      </dgm:spPr>
      <dgm:t>
        <a:bodyPr anchor="t" anchorCtr="0"/>
        <a:lstStyle/>
        <a:p>
          <a:pPr marL="72000" algn="l"/>
          <a:r>
            <a:rPr lang="en-AU" b="1"/>
            <a:t>Step 1</a:t>
          </a:r>
          <a:endParaRPr lang="en-AU"/>
        </a:p>
        <a:p>
          <a:pPr marL="72000" algn="l"/>
          <a:r>
            <a:rPr lang="en-AU"/>
            <a:t>Add the number of hours worked over the entire period of continuous employment, to the number of hours of paid leave in that time</a:t>
          </a:r>
        </a:p>
      </dgm:t>
    </dgm:pt>
    <dgm:pt modelId="{C49C45BB-F947-4AEE-B9EC-73676AD61247}" type="sibTrans" cxnId="{E915310E-6EA8-4359-8F0E-079C3E672AD6}">
      <dgm:prSet/>
      <dgm:spPr/>
      <dgm:t>
        <a:bodyPr/>
        <a:lstStyle/>
        <a:p>
          <a:endParaRPr lang="en-AU"/>
        </a:p>
      </dgm:t>
    </dgm:pt>
    <dgm:pt modelId="{421669CC-9C36-4544-A7B8-5EEDDF7A9FA2}" type="parTrans" cxnId="{E915310E-6EA8-4359-8F0E-079C3E672AD6}">
      <dgm:prSet/>
      <dgm:spPr/>
      <dgm:t>
        <a:bodyPr/>
        <a:lstStyle/>
        <a:p>
          <a:endParaRPr lang="en-AU"/>
        </a:p>
      </dgm:t>
    </dgm:pt>
    <dgm:pt modelId="{311A5C08-F08A-4CF4-80EE-0E41DEA75BE4}">
      <dgm:prSet/>
      <dgm:spPr>
        <a:solidFill>
          <a:srgbClr val="0070C0"/>
        </a:solidFill>
      </dgm:spPr>
      <dgm:t>
        <a:bodyPr anchor="t" anchorCtr="0"/>
        <a:lstStyle/>
        <a:p>
          <a:pPr marL="72000" algn="l"/>
          <a:r>
            <a:rPr lang="en-AU" b="1">
              <a:solidFill>
                <a:schemeClr val="bg1"/>
              </a:solidFill>
            </a:rPr>
            <a:t>Step 2</a:t>
          </a:r>
          <a:endParaRPr lang="en-AU">
            <a:solidFill>
              <a:schemeClr val="bg1"/>
            </a:solidFill>
          </a:endParaRPr>
        </a:p>
        <a:p>
          <a:pPr marL="72000" algn="l"/>
          <a:r>
            <a:rPr lang="en-AU">
              <a:solidFill>
                <a:schemeClr val="bg1"/>
              </a:solidFill>
            </a:rPr>
            <a:t>Subtract the number of weeks of unpaid leave taken in the last 260 weeks (if any) from 260</a:t>
          </a:r>
        </a:p>
      </dgm:t>
    </dgm:pt>
    <dgm:pt modelId="{00A9410F-0B98-49CF-AE51-2B15807730A3}" type="parTrans" cxnId="{55E88392-164F-4265-8C68-7538529755FD}">
      <dgm:prSet/>
      <dgm:spPr/>
      <dgm:t>
        <a:bodyPr/>
        <a:lstStyle/>
        <a:p>
          <a:endParaRPr lang="en-AU">
            <a:solidFill>
              <a:schemeClr val="accent1">
                <a:lumMod val="60000"/>
                <a:lumOff val="40000"/>
              </a:schemeClr>
            </a:solidFill>
          </a:endParaRPr>
        </a:p>
      </dgm:t>
    </dgm:pt>
    <dgm:pt modelId="{567EE226-4C77-48AC-A1F5-C16938B0DCE8}" type="sibTrans" cxnId="{55E88392-164F-4265-8C68-7538529755FD}">
      <dgm:prSet/>
      <dgm:spPr/>
      <dgm:t>
        <a:bodyPr/>
        <a:lstStyle/>
        <a:p>
          <a:endParaRPr lang="en-AU">
            <a:solidFill>
              <a:schemeClr val="accent1">
                <a:lumMod val="60000"/>
                <a:lumOff val="40000"/>
              </a:schemeClr>
            </a:solidFill>
          </a:endParaRPr>
        </a:p>
      </dgm:t>
    </dgm:pt>
    <dgm:pt modelId="{098A0A9B-AA26-4D0B-AAEC-D213C3DEDC5F}" type="pres">
      <dgm:prSet presAssocID="{E7B7CBC4-89C0-4949-AF53-E549182B01CE}" presName="Name0" presStyleCnt="0">
        <dgm:presLayoutVars>
          <dgm:dir val="rev"/>
          <dgm:animLvl val="lvl"/>
          <dgm:resizeHandles val="exact"/>
        </dgm:presLayoutVars>
      </dgm:prSet>
      <dgm:spPr/>
    </dgm:pt>
    <dgm:pt modelId="{BDF4DF4B-9893-4E7C-AB8A-186C1522D574}" type="pres">
      <dgm:prSet presAssocID="{BBC34F66-6B77-4605-9242-BC7FA401459A}" presName="vertFlow" presStyleCnt="0"/>
      <dgm:spPr/>
    </dgm:pt>
    <dgm:pt modelId="{2A065BCF-0E49-4A1C-BF58-78DECBC75C5C}" type="pres">
      <dgm:prSet presAssocID="{BBC34F66-6B77-4605-9242-BC7FA401459A}" presName="header" presStyleLbl="node1" presStyleIdx="0" presStyleCnt="3" custScaleY="207672"/>
      <dgm:spPr/>
    </dgm:pt>
    <dgm:pt modelId="{8333CB9F-5503-4480-B099-8F1FF5980E0C}" type="pres">
      <dgm:prSet presAssocID="{EFD6563E-C930-4709-AA19-A53441A5C7A3}" presName="parTrans" presStyleLbl="sibTrans2D1" presStyleIdx="0" presStyleCnt="6" custScaleX="162689" custScaleY="275478"/>
      <dgm:spPr/>
    </dgm:pt>
    <dgm:pt modelId="{56CD93B3-3B7A-400C-982E-235DED0D5F12}" type="pres">
      <dgm:prSet presAssocID="{AA7785E0-49D0-4E90-A7EF-D9692CB62582}" presName="child" presStyleLbl="alignAccFollowNode1" presStyleIdx="0" presStyleCnt="6" custScaleY="207672">
        <dgm:presLayoutVars>
          <dgm:chMax val="0"/>
          <dgm:bulletEnabled val="1"/>
        </dgm:presLayoutVars>
      </dgm:prSet>
      <dgm:spPr/>
    </dgm:pt>
    <dgm:pt modelId="{CFFE8047-9F24-4A82-A6A3-38806745410E}" type="pres">
      <dgm:prSet presAssocID="{E984147B-04A8-4DCB-8FDC-27A8761396C0}" presName="sibTrans" presStyleLbl="sibTrans2D1" presStyleIdx="1" presStyleCnt="6" custScaleX="162689" custScaleY="275478" custLinFactNeighborY="6875"/>
      <dgm:spPr/>
    </dgm:pt>
    <dgm:pt modelId="{1A3ABA4C-DAB6-4525-B52E-42778701B943}" type="pres">
      <dgm:prSet presAssocID="{CEF84A94-9AAC-44DA-8478-BE542E9DE062}" presName="child" presStyleLbl="alignAccFollowNode1" presStyleIdx="1" presStyleCnt="6" custScaleY="207672" custLinFactNeighborY="28407">
        <dgm:presLayoutVars>
          <dgm:chMax val="0"/>
          <dgm:bulletEnabled val="1"/>
        </dgm:presLayoutVars>
      </dgm:prSet>
      <dgm:spPr/>
    </dgm:pt>
    <dgm:pt modelId="{C56D1440-B3F0-4042-97C6-D58B2C289127}" type="pres">
      <dgm:prSet presAssocID="{BBC34F66-6B77-4605-9242-BC7FA401459A}" presName="hSp" presStyleCnt="0"/>
      <dgm:spPr/>
    </dgm:pt>
    <dgm:pt modelId="{D6351447-F62F-4C1F-ACA5-C65791C9872C}" type="pres">
      <dgm:prSet presAssocID="{9CC0AD96-7348-4B13-B4D4-0CD105076985}" presName="vertFlow" presStyleCnt="0"/>
      <dgm:spPr/>
    </dgm:pt>
    <dgm:pt modelId="{214DA522-B980-4D4C-8DE6-453B27854EC7}" type="pres">
      <dgm:prSet presAssocID="{9CC0AD96-7348-4B13-B4D4-0CD105076985}" presName="header" presStyleLbl="node1" presStyleIdx="1" presStyleCnt="3" custScaleY="207672"/>
      <dgm:spPr/>
    </dgm:pt>
    <dgm:pt modelId="{FACB36E4-9586-4C2E-9878-4859FAC1C278}" type="pres">
      <dgm:prSet presAssocID="{00A9410F-0B98-49CF-AE51-2B15807730A3}" presName="parTrans" presStyleLbl="sibTrans2D1" presStyleIdx="2" presStyleCnt="6" custScaleX="162689" custScaleY="275478"/>
      <dgm:spPr/>
    </dgm:pt>
    <dgm:pt modelId="{D7E3C9A1-BAFD-4CF7-9B36-39040089A9A4}" type="pres">
      <dgm:prSet presAssocID="{311A5C08-F08A-4CF4-80EE-0E41DEA75BE4}" presName="child" presStyleLbl="alignAccFollowNode1" presStyleIdx="2" presStyleCnt="6" custScaleY="207672">
        <dgm:presLayoutVars>
          <dgm:chMax val="0"/>
          <dgm:bulletEnabled val="1"/>
        </dgm:presLayoutVars>
      </dgm:prSet>
      <dgm:spPr/>
    </dgm:pt>
    <dgm:pt modelId="{52D78C2D-4C8F-47A1-BC02-8EAD1CEA5070}" type="pres">
      <dgm:prSet presAssocID="{567EE226-4C77-48AC-A1F5-C16938B0DCE8}" presName="sibTrans" presStyleLbl="sibTrans2D1" presStyleIdx="3" presStyleCnt="6" custScaleX="162689" custScaleY="275478" custLinFactNeighborY="13750"/>
      <dgm:spPr/>
    </dgm:pt>
    <dgm:pt modelId="{C0741C82-9EED-402A-87AF-A3C100CD77BA}" type="pres">
      <dgm:prSet presAssocID="{B34B646B-416B-454B-8D71-4325626770F2}" presName="child" presStyleLbl="alignAccFollowNode1" presStyleIdx="3" presStyleCnt="6" custScaleY="207672" custLinFactNeighborY="28407">
        <dgm:presLayoutVars>
          <dgm:chMax val="0"/>
          <dgm:bulletEnabled val="1"/>
        </dgm:presLayoutVars>
      </dgm:prSet>
      <dgm:spPr/>
    </dgm:pt>
    <dgm:pt modelId="{0423D821-CAFA-42A4-9C8F-19322493309F}" type="pres">
      <dgm:prSet presAssocID="{9CC0AD96-7348-4B13-B4D4-0CD105076985}" presName="hSp" presStyleCnt="0"/>
      <dgm:spPr/>
    </dgm:pt>
    <dgm:pt modelId="{2D631D4F-BDA2-4BC2-82BD-50CBC963E315}" type="pres">
      <dgm:prSet presAssocID="{16441376-8438-4587-9A40-2CDC436B0A2C}" presName="vertFlow" presStyleCnt="0"/>
      <dgm:spPr/>
    </dgm:pt>
    <dgm:pt modelId="{EF027334-EC98-47BB-AD17-75FD8F690958}" type="pres">
      <dgm:prSet presAssocID="{16441376-8438-4587-9A40-2CDC436B0A2C}" presName="header" presStyleLbl="node1" presStyleIdx="2" presStyleCnt="3" custScaleY="207672"/>
      <dgm:spPr/>
    </dgm:pt>
    <dgm:pt modelId="{05061B95-2746-43CB-82C0-96207308ED57}" type="pres">
      <dgm:prSet presAssocID="{796D7CEC-5ACE-4B02-A9E7-6036A656634D}" presName="parTrans" presStyleLbl="sibTrans2D1" presStyleIdx="4" presStyleCnt="6" custScaleX="162689" custScaleY="275478"/>
      <dgm:spPr/>
    </dgm:pt>
    <dgm:pt modelId="{43E25D5D-ABBC-48D0-A7E1-614DFBDFB32D}" type="pres">
      <dgm:prSet presAssocID="{A5561F56-8ECC-4F51-9754-081B417D6CE6}" presName="child" presStyleLbl="alignAccFollowNode1" presStyleIdx="4" presStyleCnt="6" custScaleY="207672">
        <dgm:presLayoutVars>
          <dgm:chMax val="0"/>
          <dgm:bulletEnabled val="1"/>
        </dgm:presLayoutVars>
      </dgm:prSet>
      <dgm:spPr/>
    </dgm:pt>
    <dgm:pt modelId="{5A66C2CC-B556-4BFC-9322-50CF953AE789}" type="pres">
      <dgm:prSet presAssocID="{FB00482D-89F8-4DD4-93E3-9991DC4FCEBB}" presName="sibTrans" presStyleLbl="sibTrans2D1" presStyleIdx="5" presStyleCnt="6" custScaleX="162689" custScaleY="275478" custLinFactNeighborY="6875"/>
      <dgm:spPr/>
    </dgm:pt>
    <dgm:pt modelId="{238D517F-3037-40CF-95D1-BC5AC7EF9C5E}" type="pres">
      <dgm:prSet presAssocID="{1EFAA22E-1557-48AC-AC7B-618F4498210A}" presName="child" presStyleLbl="alignAccFollowNode1" presStyleIdx="5" presStyleCnt="6" custScaleY="207672" custLinFactNeighborY="28407">
        <dgm:presLayoutVars>
          <dgm:chMax val="0"/>
          <dgm:bulletEnabled val="1"/>
        </dgm:presLayoutVars>
      </dgm:prSet>
      <dgm:spPr/>
    </dgm:pt>
  </dgm:ptLst>
  <dgm:cxnLst>
    <dgm:cxn modelId="{E915310E-6EA8-4359-8F0E-079C3E672AD6}" srcId="{E7B7CBC4-89C0-4949-AF53-E549182B01CE}" destId="{BBC34F66-6B77-4605-9242-BC7FA401459A}" srcOrd="0" destOrd="0" parTransId="{421669CC-9C36-4544-A7B8-5EEDDF7A9FA2}" sibTransId="{C49C45BB-F947-4AEE-B9EC-73676AD61247}"/>
    <dgm:cxn modelId="{7E4B7114-1723-44FF-ABAD-187D2FD1F4F8}" srcId="{16441376-8438-4587-9A40-2CDC436B0A2C}" destId="{1EFAA22E-1557-48AC-AC7B-618F4498210A}" srcOrd="1" destOrd="0" parTransId="{D0833D13-6241-4051-A4EF-EA7948489D85}" sibTransId="{874F5238-3BDB-43F4-8DE8-7AC6C1CD56A4}"/>
    <dgm:cxn modelId="{E27DC325-DEA1-42F6-9CA5-4CDC4E9B440F}" type="presOf" srcId="{A5561F56-8ECC-4F51-9754-081B417D6CE6}" destId="{43E25D5D-ABBC-48D0-A7E1-614DFBDFB32D}" srcOrd="0" destOrd="0" presId="urn:microsoft.com/office/officeart/2005/8/layout/lProcess1"/>
    <dgm:cxn modelId="{C9056829-4ACD-418A-8E79-725F55B91444}" type="presOf" srcId="{BBC34F66-6B77-4605-9242-BC7FA401459A}" destId="{2A065BCF-0E49-4A1C-BF58-78DECBC75C5C}" srcOrd="0" destOrd="0" presId="urn:microsoft.com/office/officeart/2005/8/layout/lProcess1"/>
    <dgm:cxn modelId="{8D847133-CF91-497A-B09B-3F0B1B7FEF01}" type="presOf" srcId="{567EE226-4C77-48AC-A1F5-C16938B0DCE8}" destId="{52D78C2D-4C8F-47A1-BC02-8EAD1CEA5070}" srcOrd="0" destOrd="0" presId="urn:microsoft.com/office/officeart/2005/8/layout/lProcess1"/>
    <dgm:cxn modelId="{3EB10538-C450-4042-99CA-9796AB4BDA6E}" srcId="{16441376-8438-4587-9A40-2CDC436B0A2C}" destId="{A5561F56-8ECC-4F51-9754-081B417D6CE6}" srcOrd="0" destOrd="0" parTransId="{796D7CEC-5ACE-4B02-A9E7-6036A656634D}" sibTransId="{FB00482D-89F8-4DD4-93E3-9991DC4FCEBB}"/>
    <dgm:cxn modelId="{BB0A833F-E35F-4552-AD2D-85D0821E30C1}" srcId="{BBC34F66-6B77-4605-9242-BC7FA401459A}" destId="{AA7785E0-49D0-4E90-A7EF-D9692CB62582}" srcOrd="0" destOrd="0" parTransId="{EFD6563E-C930-4709-AA19-A53441A5C7A3}" sibTransId="{E984147B-04A8-4DCB-8FDC-27A8761396C0}"/>
    <dgm:cxn modelId="{653B405F-97BF-44C4-BA5A-2CC315A1EB1D}" type="presOf" srcId="{311A5C08-F08A-4CF4-80EE-0E41DEA75BE4}" destId="{D7E3C9A1-BAFD-4CF7-9B36-39040089A9A4}" srcOrd="0" destOrd="0" presId="urn:microsoft.com/office/officeart/2005/8/layout/lProcess1"/>
    <dgm:cxn modelId="{0DB8BF42-B7EF-4824-B75E-75904C4F8386}" type="presOf" srcId="{FB00482D-89F8-4DD4-93E3-9991DC4FCEBB}" destId="{5A66C2CC-B556-4BFC-9322-50CF953AE789}" srcOrd="0" destOrd="0" presId="urn:microsoft.com/office/officeart/2005/8/layout/lProcess1"/>
    <dgm:cxn modelId="{A22F6A44-2127-49B6-A6E9-31ED76B1AA75}" srcId="{E7B7CBC4-89C0-4949-AF53-E549182B01CE}" destId="{16441376-8438-4587-9A40-2CDC436B0A2C}" srcOrd="2" destOrd="0" parTransId="{DE16D9B4-F842-4B4A-98D0-9E5E4B917C54}" sibTransId="{41F8938F-AF6C-4952-B50E-EB65FE153130}"/>
    <dgm:cxn modelId="{43268B46-E4F7-4307-AB23-103E8C66ADFD}" type="presOf" srcId="{9CC0AD96-7348-4B13-B4D4-0CD105076985}" destId="{214DA522-B980-4D4C-8DE6-453B27854EC7}" srcOrd="0" destOrd="0" presId="urn:microsoft.com/office/officeart/2005/8/layout/lProcess1"/>
    <dgm:cxn modelId="{336E1370-2F09-4011-8257-15334E683DAE}" type="presOf" srcId="{B34B646B-416B-454B-8D71-4325626770F2}" destId="{C0741C82-9EED-402A-87AF-A3C100CD77BA}" srcOrd="0" destOrd="0" presId="urn:microsoft.com/office/officeart/2005/8/layout/lProcess1"/>
    <dgm:cxn modelId="{F9BF6258-489B-4551-9FC8-8ADA8E57A072}" type="presOf" srcId="{CEF84A94-9AAC-44DA-8478-BE542E9DE062}" destId="{1A3ABA4C-DAB6-4525-B52E-42778701B943}" srcOrd="0" destOrd="0" presId="urn:microsoft.com/office/officeart/2005/8/layout/lProcess1"/>
    <dgm:cxn modelId="{CD1B8984-5E9D-4D6C-8B19-2B82B1E11384}" srcId="{9CC0AD96-7348-4B13-B4D4-0CD105076985}" destId="{B34B646B-416B-454B-8D71-4325626770F2}" srcOrd="1" destOrd="0" parTransId="{3CA8FFAC-9000-4586-BF19-3778FC92CCEF}" sibTransId="{56395F87-156A-485C-BE5E-13CD93974E64}"/>
    <dgm:cxn modelId="{55E88392-164F-4265-8C68-7538529755FD}" srcId="{9CC0AD96-7348-4B13-B4D4-0CD105076985}" destId="{311A5C08-F08A-4CF4-80EE-0E41DEA75BE4}" srcOrd="0" destOrd="0" parTransId="{00A9410F-0B98-49CF-AE51-2B15807730A3}" sibTransId="{567EE226-4C77-48AC-A1F5-C16938B0DCE8}"/>
    <dgm:cxn modelId="{9978EF9C-6C41-4F01-B0F3-884865F856C3}" srcId="{BBC34F66-6B77-4605-9242-BC7FA401459A}" destId="{CEF84A94-9AAC-44DA-8478-BE542E9DE062}" srcOrd="1" destOrd="0" parTransId="{94B813D0-FD12-4CB0-8191-C918156B19BF}" sibTransId="{04D9964A-B1C3-4D11-BDEC-95095382ED3D}"/>
    <dgm:cxn modelId="{0D04B59E-5BD7-42CD-B131-990AB4BB258C}" type="presOf" srcId="{AA7785E0-49D0-4E90-A7EF-D9692CB62582}" destId="{56CD93B3-3B7A-400C-982E-235DED0D5F12}" srcOrd="0" destOrd="0" presId="urn:microsoft.com/office/officeart/2005/8/layout/lProcess1"/>
    <dgm:cxn modelId="{899CF2AA-F0DD-4790-9DB2-3C98AE7F19F6}" type="presOf" srcId="{E984147B-04A8-4DCB-8FDC-27A8761396C0}" destId="{CFFE8047-9F24-4A82-A6A3-38806745410E}" srcOrd="0" destOrd="0" presId="urn:microsoft.com/office/officeart/2005/8/layout/lProcess1"/>
    <dgm:cxn modelId="{48F507AD-0709-49A1-9BBE-7E9D6AE576D3}" type="presOf" srcId="{00A9410F-0B98-49CF-AE51-2B15807730A3}" destId="{FACB36E4-9586-4C2E-9878-4859FAC1C278}" srcOrd="0" destOrd="0" presId="urn:microsoft.com/office/officeart/2005/8/layout/lProcess1"/>
    <dgm:cxn modelId="{AEF061AE-0250-43DB-980A-B1B31EDF5138}" type="presOf" srcId="{EFD6563E-C930-4709-AA19-A53441A5C7A3}" destId="{8333CB9F-5503-4480-B099-8F1FF5980E0C}" srcOrd="0" destOrd="0" presId="urn:microsoft.com/office/officeart/2005/8/layout/lProcess1"/>
    <dgm:cxn modelId="{763099B0-B017-4156-A74D-503BC248DCEB}" type="presOf" srcId="{16441376-8438-4587-9A40-2CDC436B0A2C}" destId="{EF027334-EC98-47BB-AD17-75FD8F690958}" srcOrd="0" destOrd="0" presId="urn:microsoft.com/office/officeart/2005/8/layout/lProcess1"/>
    <dgm:cxn modelId="{028D29C1-0BC1-4F8D-9C7A-6DF08FBFF597}" type="presOf" srcId="{796D7CEC-5ACE-4B02-A9E7-6036A656634D}" destId="{05061B95-2746-43CB-82C0-96207308ED57}" srcOrd="0" destOrd="0" presId="urn:microsoft.com/office/officeart/2005/8/layout/lProcess1"/>
    <dgm:cxn modelId="{D5D11DEF-C8EC-4BAB-BDDC-0365D57A0179}" srcId="{E7B7CBC4-89C0-4949-AF53-E549182B01CE}" destId="{9CC0AD96-7348-4B13-B4D4-0CD105076985}" srcOrd="1" destOrd="0" parTransId="{16953CBC-D5C4-44DC-A06C-BDDB5F0600A7}" sibTransId="{EEF48CC8-652A-445E-95BB-FC6935A27C10}"/>
    <dgm:cxn modelId="{319FC7D2-947D-44D7-B04A-4052E2DDBE09}" type="presOf" srcId="{E7B7CBC4-89C0-4949-AF53-E549182B01CE}" destId="{098A0A9B-AA26-4D0B-AAEC-D213C3DEDC5F}" srcOrd="0" destOrd="0" presId="urn:microsoft.com/office/officeart/2005/8/layout/lProcess1"/>
    <dgm:cxn modelId="{9A5338D3-E7AA-413D-A47C-26425B4C0ACD}" type="presOf" srcId="{1EFAA22E-1557-48AC-AC7B-618F4498210A}" destId="{238D517F-3037-40CF-95D1-BC5AC7EF9C5E}" srcOrd="0" destOrd="0" presId="urn:microsoft.com/office/officeart/2005/8/layout/lProcess1"/>
    <dgm:cxn modelId="{5FA7D69C-6F06-4372-BBAD-376D79AD7FBD}" type="presParOf" srcId="{098A0A9B-AA26-4D0B-AAEC-D213C3DEDC5F}" destId="{BDF4DF4B-9893-4E7C-AB8A-186C1522D574}" srcOrd="0" destOrd="0" presId="urn:microsoft.com/office/officeart/2005/8/layout/lProcess1"/>
    <dgm:cxn modelId="{008DF91D-DC5B-46A4-ADBA-6AB633126E10}" type="presParOf" srcId="{BDF4DF4B-9893-4E7C-AB8A-186C1522D574}" destId="{2A065BCF-0E49-4A1C-BF58-78DECBC75C5C}" srcOrd="0" destOrd="0" presId="urn:microsoft.com/office/officeart/2005/8/layout/lProcess1"/>
    <dgm:cxn modelId="{DC06C834-50B6-46AC-8AD1-588FE2CA3A55}" type="presParOf" srcId="{BDF4DF4B-9893-4E7C-AB8A-186C1522D574}" destId="{8333CB9F-5503-4480-B099-8F1FF5980E0C}" srcOrd="1" destOrd="0" presId="urn:microsoft.com/office/officeart/2005/8/layout/lProcess1"/>
    <dgm:cxn modelId="{FDBFF6F9-A318-4DF5-B4DB-2AFA189E9F86}" type="presParOf" srcId="{BDF4DF4B-9893-4E7C-AB8A-186C1522D574}" destId="{56CD93B3-3B7A-400C-982E-235DED0D5F12}" srcOrd="2" destOrd="0" presId="urn:microsoft.com/office/officeart/2005/8/layout/lProcess1"/>
    <dgm:cxn modelId="{30CECA39-BDDE-46B5-98D4-C7B1E09FC536}" type="presParOf" srcId="{BDF4DF4B-9893-4E7C-AB8A-186C1522D574}" destId="{CFFE8047-9F24-4A82-A6A3-38806745410E}" srcOrd="3" destOrd="0" presId="urn:microsoft.com/office/officeart/2005/8/layout/lProcess1"/>
    <dgm:cxn modelId="{4E6B466C-8C5A-4FB9-92DE-379A0A8B0B40}" type="presParOf" srcId="{BDF4DF4B-9893-4E7C-AB8A-186C1522D574}" destId="{1A3ABA4C-DAB6-4525-B52E-42778701B943}" srcOrd="4" destOrd="0" presId="urn:microsoft.com/office/officeart/2005/8/layout/lProcess1"/>
    <dgm:cxn modelId="{197AC6A4-2F74-4493-9D66-B09DB0420206}" type="presParOf" srcId="{098A0A9B-AA26-4D0B-AAEC-D213C3DEDC5F}" destId="{C56D1440-B3F0-4042-97C6-D58B2C289127}" srcOrd="1" destOrd="0" presId="urn:microsoft.com/office/officeart/2005/8/layout/lProcess1"/>
    <dgm:cxn modelId="{51528430-8038-4A99-BC13-B050B8A808CA}" type="presParOf" srcId="{098A0A9B-AA26-4D0B-AAEC-D213C3DEDC5F}" destId="{D6351447-F62F-4C1F-ACA5-C65791C9872C}" srcOrd="2" destOrd="0" presId="urn:microsoft.com/office/officeart/2005/8/layout/lProcess1"/>
    <dgm:cxn modelId="{F9A8D553-4CED-42A7-90BD-B5733128161A}" type="presParOf" srcId="{D6351447-F62F-4C1F-ACA5-C65791C9872C}" destId="{214DA522-B980-4D4C-8DE6-453B27854EC7}" srcOrd="0" destOrd="0" presId="urn:microsoft.com/office/officeart/2005/8/layout/lProcess1"/>
    <dgm:cxn modelId="{BFE09E5B-9782-4B59-834D-FE06E7F85973}" type="presParOf" srcId="{D6351447-F62F-4C1F-ACA5-C65791C9872C}" destId="{FACB36E4-9586-4C2E-9878-4859FAC1C278}" srcOrd="1" destOrd="0" presId="urn:microsoft.com/office/officeart/2005/8/layout/lProcess1"/>
    <dgm:cxn modelId="{E093E77F-5FFF-44C6-ADDB-7AD9B3C268FF}" type="presParOf" srcId="{D6351447-F62F-4C1F-ACA5-C65791C9872C}" destId="{D7E3C9A1-BAFD-4CF7-9B36-39040089A9A4}" srcOrd="2" destOrd="0" presId="urn:microsoft.com/office/officeart/2005/8/layout/lProcess1"/>
    <dgm:cxn modelId="{3959925E-83DF-45FF-8564-CF710DAC05D0}" type="presParOf" srcId="{D6351447-F62F-4C1F-ACA5-C65791C9872C}" destId="{52D78C2D-4C8F-47A1-BC02-8EAD1CEA5070}" srcOrd="3" destOrd="0" presId="urn:microsoft.com/office/officeart/2005/8/layout/lProcess1"/>
    <dgm:cxn modelId="{C28FB8BE-2C6E-4852-A3C2-C713B6D7FD1F}" type="presParOf" srcId="{D6351447-F62F-4C1F-ACA5-C65791C9872C}" destId="{C0741C82-9EED-402A-87AF-A3C100CD77BA}" srcOrd="4" destOrd="0" presId="urn:microsoft.com/office/officeart/2005/8/layout/lProcess1"/>
    <dgm:cxn modelId="{37F1B5B2-77CE-4032-9458-67649325886E}" type="presParOf" srcId="{098A0A9B-AA26-4D0B-AAEC-D213C3DEDC5F}" destId="{0423D821-CAFA-42A4-9C8F-19322493309F}" srcOrd="3" destOrd="0" presId="urn:microsoft.com/office/officeart/2005/8/layout/lProcess1"/>
    <dgm:cxn modelId="{18D55B38-C13D-4E69-9770-A5DB5309B69E}" type="presParOf" srcId="{098A0A9B-AA26-4D0B-AAEC-D213C3DEDC5F}" destId="{2D631D4F-BDA2-4BC2-82BD-50CBC963E315}" srcOrd="4" destOrd="0" presId="urn:microsoft.com/office/officeart/2005/8/layout/lProcess1"/>
    <dgm:cxn modelId="{9ECC0422-D3ED-492B-BC6E-46BDF2E6B9E9}" type="presParOf" srcId="{2D631D4F-BDA2-4BC2-82BD-50CBC963E315}" destId="{EF027334-EC98-47BB-AD17-75FD8F690958}" srcOrd="0" destOrd="0" presId="urn:microsoft.com/office/officeart/2005/8/layout/lProcess1"/>
    <dgm:cxn modelId="{98E566AF-E935-4336-91B2-506AF3A7D0BE}" type="presParOf" srcId="{2D631D4F-BDA2-4BC2-82BD-50CBC963E315}" destId="{05061B95-2746-43CB-82C0-96207308ED57}" srcOrd="1" destOrd="0" presId="urn:microsoft.com/office/officeart/2005/8/layout/lProcess1"/>
    <dgm:cxn modelId="{BCB07788-AB59-4E7B-A906-13FF38F7B345}" type="presParOf" srcId="{2D631D4F-BDA2-4BC2-82BD-50CBC963E315}" destId="{43E25D5D-ABBC-48D0-A7E1-614DFBDFB32D}" srcOrd="2" destOrd="0" presId="urn:microsoft.com/office/officeart/2005/8/layout/lProcess1"/>
    <dgm:cxn modelId="{4AE52FC7-34CD-4F3F-971E-93B7282B4017}" type="presParOf" srcId="{2D631D4F-BDA2-4BC2-82BD-50CBC963E315}" destId="{5A66C2CC-B556-4BFC-9322-50CF953AE789}" srcOrd="3" destOrd="0" presId="urn:microsoft.com/office/officeart/2005/8/layout/lProcess1"/>
    <dgm:cxn modelId="{35527D35-896D-4C0D-86E2-39F9B62F2B7D}" type="presParOf" srcId="{2D631D4F-BDA2-4BC2-82BD-50CBC963E315}" destId="{238D517F-3037-40CF-95D1-BC5AC7EF9C5E}" srcOrd="4" destOrd="0" presId="urn:microsoft.com/office/officeart/2005/8/layout/l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65BCF-0E49-4A1C-BF58-78DECBC75C5C}">
      <dsp:nvSpPr>
        <dsp:cNvPr id="0" name=""/>
        <dsp:cNvSpPr/>
      </dsp:nvSpPr>
      <dsp:spPr>
        <a:xfrm>
          <a:off x="4116723" y="103"/>
          <a:ext cx="1783982" cy="92620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72000" lvl="0" indent="0" algn="l" defTabSz="400050">
            <a:lnSpc>
              <a:spcPct val="90000"/>
            </a:lnSpc>
            <a:spcBef>
              <a:spcPct val="0"/>
            </a:spcBef>
            <a:spcAft>
              <a:spcPct val="35000"/>
            </a:spcAft>
            <a:buNone/>
          </a:pPr>
          <a:r>
            <a:rPr lang="en-AU" sz="900" b="1" kern="1200"/>
            <a:t>Step 1</a:t>
          </a:r>
          <a:endParaRPr lang="en-AU" sz="900" kern="1200"/>
        </a:p>
        <a:p>
          <a:pPr marL="72000" lvl="0" indent="0" algn="l" defTabSz="400050">
            <a:lnSpc>
              <a:spcPct val="90000"/>
            </a:lnSpc>
            <a:spcBef>
              <a:spcPct val="0"/>
            </a:spcBef>
            <a:spcAft>
              <a:spcPct val="35000"/>
            </a:spcAft>
            <a:buNone/>
          </a:pPr>
          <a:r>
            <a:rPr lang="en-AU" sz="900" kern="1200"/>
            <a:t>Add the number of hours worked over the entire period of continuous employment, to the number of hours of paid leave in that time</a:t>
          </a:r>
        </a:p>
      </dsp:txBody>
      <dsp:txXfrm>
        <a:off x="4143851" y="27231"/>
        <a:ext cx="1729726" cy="871952"/>
      </dsp:txXfrm>
    </dsp:sp>
    <dsp:sp modelId="{8333CB9F-5503-4480-B099-8F1FF5980E0C}">
      <dsp:nvSpPr>
        <dsp:cNvPr id="0" name=""/>
        <dsp:cNvSpPr/>
      </dsp:nvSpPr>
      <dsp:spPr>
        <a:xfrm rot="5400000">
          <a:off x="4945226" y="896856"/>
          <a:ext cx="126977" cy="21500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CD93B3-3B7A-400C-982E-235DED0D5F12}">
      <dsp:nvSpPr>
        <dsp:cNvPr id="0" name=""/>
        <dsp:cNvSpPr/>
      </dsp:nvSpPr>
      <dsp:spPr>
        <a:xfrm>
          <a:off x="4116723" y="1082410"/>
          <a:ext cx="1783982" cy="926208"/>
        </a:xfrm>
        <a:prstGeom prst="roundRect">
          <a:avLst>
            <a:gd name="adj" fmla="val 10000"/>
          </a:avLst>
        </a:prstGeom>
        <a:solidFill>
          <a:srgbClr val="0070C0"/>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72000" lvl="0" indent="0" algn="l" defTabSz="355600">
            <a:lnSpc>
              <a:spcPct val="90000"/>
            </a:lnSpc>
            <a:spcBef>
              <a:spcPct val="0"/>
            </a:spcBef>
            <a:spcAft>
              <a:spcPct val="35000"/>
            </a:spcAft>
            <a:buNone/>
          </a:pPr>
          <a:r>
            <a:rPr lang="en-AU" sz="800" b="1" kern="1200">
              <a:solidFill>
                <a:schemeClr val="bg1"/>
              </a:solidFill>
            </a:rPr>
            <a:t>Step 2</a:t>
          </a:r>
          <a:endParaRPr lang="en-AU" sz="800" kern="1200">
            <a:solidFill>
              <a:schemeClr val="bg1"/>
            </a:solidFill>
          </a:endParaRPr>
        </a:p>
        <a:p>
          <a:pPr marL="72000" lvl="0" indent="0" algn="l" defTabSz="355600">
            <a:lnSpc>
              <a:spcPct val="90000"/>
            </a:lnSpc>
            <a:spcBef>
              <a:spcPct val="0"/>
            </a:spcBef>
            <a:spcAft>
              <a:spcPct val="35000"/>
            </a:spcAft>
            <a:buNone/>
          </a:pPr>
          <a:r>
            <a:rPr lang="en-AU" sz="800" kern="1200">
              <a:solidFill>
                <a:schemeClr val="bg1"/>
              </a:solidFill>
            </a:rPr>
            <a:t>Subtract the number of weeks of unpaid leave taken over the entire period of continuous employment (if any) from the number of weeks worked in that period</a:t>
          </a:r>
        </a:p>
      </dsp:txBody>
      <dsp:txXfrm>
        <a:off x="4143851" y="1109538"/>
        <a:ext cx="1729726" cy="871952"/>
      </dsp:txXfrm>
    </dsp:sp>
    <dsp:sp modelId="{CFFE8047-9F24-4A82-A6A3-38806745410E}">
      <dsp:nvSpPr>
        <dsp:cNvPr id="0" name=""/>
        <dsp:cNvSpPr/>
      </dsp:nvSpPr>
      <dsp:spPr>
        <a:xfrm rot="5400000">
          <a:off x="4945141" y="1984581"/>
          <a:ext cx="127146" cy="21500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3ABA4C-DAB6-4525-B52E-42778701B943}">
      <dsp:nvSpPr>
        <dsp:cNvPr id="0" name=""/>
        <dsp:cNvSpPr/>
      </dsp:nvSpPr>
      <dsp:spPr>
        <a:xfrm>
          <a:off x="4116723" y="2164820"/>
          <a:ext cx="1783982" cy="926208"/>
        </a:xfrm>
        <a:prstGeom prst="roundRect">
          <a:avLst>
            <a:gd name="adj" fmla="val 1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72000" lvl="0" indent="0" algn="l" defTabSz="355600">
            <a:lnSpc>
              <a:spcPct val="90000"/>
            </a:lnSpc>
            <a:spcBef>
              <a:spcPct val="0"/>
            </a:spcBef>
            <a:spcAft>
              <a:spcPct val="35000"/>
            </a:spcAft>
            <a:buNone/>
          </a:pPr>
          <a:r>
            <a:rPr lang="en-AU" sz="800" b="1" kern="1200">
              <a:solidFill>
                <a:schemeClr val="bg1"/>
              </a:solidFill>
            </a:rPr>
            <a:t>Step 3</a:t>
          </a:r>
          <a:endParaRPr lang="en-AU" sz="800" kern="1200">
            <a:solidFill>
              <a:schemeClr val="bg1"/>
            </a:solidFill>
          </a:endParaRPr>
        </a:p>
        <a:p>
          <a:pPr marL="72000" lvl="0" indent="0" algn="l" defTabSz="355600">
            <a:lnSpc>
              <a:spcPct val="90000"/>
            </a:lnSpc>
            <a:spcBef>
              <a:spcPct val="0"/>
            </a:spcBef>
            <a:spcAft>
              <a:spcPct val="35000"/>
            </a:spcAft>
            <a:buNone/>
          </a:pPr>
          <a:r>
            <a:rPr lang="en-AU" sz="800" kern="1200">
              <a:solidFill>
                <a:schemeClr val="bg1"/>
              </a:solidFill>
            </a:rPr>
            <a:t>Divide the answer you got at step 1 by the answer you got at step 2</a:t>
          </a:r>
        </a:p>
      </dsp:txBody>
      <dsp:txXfrm>
        <a:off x="4143851" y="2191948"/>
        <a:ext cx="1729726" cy="871952"/>
      </dsp:txXfrm>
    </dsp:sp>
    <dsp:sp modelId="{214DA522-B980-4D4C-8DE6-453B27854EC7}">
      <dsp:nvSpPr>
        <dsp:cNvPr id="0" name=""/>
        <dsp:cNvSpPr/>
      </dsp:nvSpPr>
      <dsp:spPr>
        <a:xfrm>
          <a:off x="2082983" y="103"/>
          <a:ext cx="1783982" cy="92620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72000" lvl="0" indent="0" algn="l" defTabSz="400050">
            <a:lnSpc>
              <a:spcPct val="90000"/>
            </a:lnSpc>
            <a:spcBef>
              <a:spcPct val="0"/>
            </a:spcBef>
            <a:spcAft>
              <a:spcPct val="35000"/>
            </a:spcAft>
            <a:buNone/>
          </a:pPr>
          <a:r>
            <a:rPr lang="en-AU" sz="900" b="1" kern="1200"/>
            <a:t>Step 1 </a:t>
          </a:r>
        </a:p>
        <a:p>
          <a:pPr marL="72000" lvl="0" indent="0" algn="l" defTabSz="400050">
            <a:lnSpc>
              <a:spcPct val="90000"/>
            </a:lnSpc>
            <a:spcBef>
              <a:spcPct val="0"/>
            </a:spcBef>
            <a:spcAft>
              <a:spcPct val="35000"/>
            </a:spcAft>
            <a:buNone/>
          </a:pPr>
          <a:r>
            <a:rPr lang="en-AU" sz="900" kern="1200"/>
            <a:t>Add the number of hours worked in the last 260 weeks to the number of hours of paid leave in the last 260 weeks</a:t>
          </a:r>
        </a:p>
      </dsp:txBody>
      <dsp:txXfrm>
        <a:off x="2110111" y="27231"/>
        <a:ext cx="1729726" cy="871952"/>
      </dsp:txXfrm>
    </dsp:sp>
    <dsp:sp modelId="{FACB36E4-9586-4C2E-9878-4859FAC1C278}">
      <dsp:nvSpPr>
        <dsp:cNvPr id="0" name=""/>
        <dsp:cNvSpPr/>
      </dsp:nvSpPr>
      <dsp:spPr>
        <a:xfrm rot="5400000">
          <a:off x="2911486" y="896856"/>
          <a:ext cx="126977" cy="21500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E3C9A1-BAFD-4CF7-9B36-39040089A9A4}">
      <dsp:nvSpPr>
        <dsp:cNvPr id="0" name=""/>
        <dsp:cNvSpPr/>
      </dsp:nvSpPr>
      <dsp:spPr>
        <a:xfrm>
          <a:off x="2082983" y="1082410"/>
          <a:ext cx="1783982" cy="926208"/>
        </a:xfrm>
        <a:prstGeom prst="roundRect">
          <a:avLst>
            <a:gd name="adj" fmla="val 10000"/>
          </a:avLst>
        </a:prstGeom>
        <a:solidFill>
          <a:srgbClr val="0070C0"/>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72000" lvl="0" indent="0" algn="l" defTabSz="355600">
            <a:lnSpc>
              <a:spcPct val="90000"/>
            </a:lnSpc>
            <a:spcBef>
              <a:spcPct val="0"/>
            </a:spcBef>
            <a:spcAft>
              <a:spcPct val="35000"/>
            </a:spcAft>
            <a:buNone/>
          </a:pPr>
          <a:r>
            <a:rPr lang="en-AU" sz="800" b="1" kern="1200">
              <a:solidFill>
                <a:schemeClr val="bg1"/>
              </a:solidFill>
            </a:rPr>
            <a:t>Step 2</a:t>
          </a:r>
          <a:endParaRPr lang="en-AU" sz="800" kern="1200">
            <a:solidFill>
              <a:schemeClr val="bg1"/>
            </a:solidFill>
          </a:endParaRPr>
        </a:p>
        <a:p>
          <a:pPr marL="72000" lvl="0" indent="0" algn="l" defTabSz="355600">
            <a:lnSpc>
              <a:spcPct val="90000"/>
            </a:lnSpc>
            <a:spcBef>
              <a:spcPct val="0"/>
            </a:spcBef>
            <a:spcAft>
              <a:spcPct val="35000"/>
            </a:spcAft>
            <a:buNone/>
          </a:pPr>
          <a:r>
            <a:rPr lang="en-AU" sz="800" kern="1200">
              <a:solidFill>
                <a:schemeClr val="bg1"/>
              </a:solidFill>
            </a:rPr>
            <a:t>Subtract the number of weeks of unpaid leave taken in the last 260 weeks (if any) from 260</a:t>
          </a:r>
        </a:p>
      </dsp:txBody>
      <dsp:txXfrm>
        <a:off x="2110111" y="1109538"/>
        <a:ext cx="1729726" cy="871952"/>
      </dsp:txXfrm>
    </dsp:sp>
    <dsp:sp modelId="{52D78C2D-4C8F-47A1-BC02-8EAD1CEA5070}">
      <dsp:nvSpPr>
        <dsp:cNvPr id="0" name=""/>
        <dsp:cNvSpPr/>
      </dsp:nvSpPr>
      <dsp:spPr>
        <a:xfrm rot="5400000">
          <a:off x="2911401" y="1989947"/>
          <a:ext cx="127146" cy="21500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741C82-9EED-402A-87AF-A3C100CD77BA}">
      <dsp:nvSpPr>
        <dsp:cNvPr id="0" name=""/>
        <dsp:cNvSpPr/>
      </dsp:nvSpPr>
      <dsp:spPr>
        <a:xfrm>
          <a:off x="2082983" y="2164820"/>
          <a:ext cx="1783982" cy="926208"/>
        </a:xfrm>
        <a:prstGeom prst="roundRect">
          <a:avLst>
            <a:gd name="adj" fmla="val 1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72000" lvl="0" indent="0" algn="l" defTabSz="355600">
            <a:lnSpc>
              <a:spcPct val="90000"/>
            </a:lnSpc>
            <a:spcBef>
              <a:spcPct val="0"/>
            </a:spcBef>
            <a:spcAft>
              <a:spcPct val="35000"/>
            </a:spcAft>
            <a:buNone/>
          </a:pPr>
          <a:r>
            <a:rPr lang="en-AU" sz="800" b="1" kern="1200">
              <a:solidFill>
                <a:schemeClr val="bg1"/>
              </a:solidFill>
            </a:rPr>
            <a:t>Step 3</a:t>
          </a:r>
          <a:endParaRPr lang="en-AU" sz="800" kern="1200">
            <a:solidFill>
              <a:schemeClr val="bg1"/>
            </a:solidFill>
          </a:endParaRPr>
        </a:p>
        <a:p>
          <a:pPr marL="72000" lvl="0" indent="0" algn="l" defTabSz="355600">
            <a:lnSpc>
              <a:spcPct val="90000"/>
            </a:lnSpc>
            <a:spcBef>
              <a:spcPct val="0"/>
            </a:spcBef>
            <a:spcAft>
              <a:spcPct val="35000"/>
            </a:spcAft>
            <a:buNone/>
          </a:pPr>
          <a:r>
            <a:rPr lang="en-AU" sz="800" kern="1200">
              <a:solidFill>
                <a:schemeClr val="bg1"/>
              </a:solidFill>
            </a:rPr>
            <a:t>Divide the answer you got at step 1 by the answer you got at step 2</a:t>
          </a:r>
        </a:p>
      </dsp:txBody>
      <dsp:txXfrm>
        <a:off x="2110111" y="2191948"/>
        <a:ext cx="1729726" cy="871952"/>
      </dsp:txXfrm>
    </dsp:sp>
    <dsp:sp modelId="{EF027334-EC98-47BB-AD17-75FD8F690958}">
      <dsp:nvSpPr>
        <dsp:cNvPr id="0" name=""/>
        <dsp:cNvSpPr/>
      </dsp:nvSpPr>
      <dsp:spPr>
        <a:xfrm>
          <a:off x="49243" y="103"/>
          <a:ext cx="1783982" cy="92620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72000" lvl="0" indent="0" algn="l" defTabSz="400050">
            <a:lnSpc>
              <a:spcPct val="90000"/>
            </a:lnSpc>
            <a:spcBef>
              <a:spcPct val="0"/>
            </a:spcBef>
            <a:spcAft>
              <a:spcPct val="35000"/>
            </a:spcAft>
            <a:buNone/>
          </a:pPr>
          <a:r>
            <a:rPr lang="en-AU" sz="900" b="1" kern="1200"/>
            <a:t>Step 1</a:t>
          </a:r>
          <a:endParaRPr lang="en-AU" sz="900" kern="1200"/>
        </a:p>
        <a:p>
          <a:pPr marL="72000" lvl="0" indent="0" algn="l" defTabSz="400050">
            <a:lnSpc>
              <a:spcPct val="90000"/>
            </a:lnSpc>
            <a:spcBef>
              <a:spcPct val="0"/>
            </a:spcBef>
            <a:spcAft>
              <a:spcPct val="35000"/>
            </a:spcAft>
            <a:buNone/>
          </a:pPr>
          <a:r>
            <a:rPr lang="en-AU" sz="900" kern="1200"/>
            <a:t>Add the number of hours worked in the last 52 weeks to the number of hours of paid leave in the last 52 weeks</a:t>
          </a:r>
        </a:p>
      </dsp:txBody>
      <dsp:txXfrm>
        <a:off x="76371" y="27231"/>
        <a:ext cx="1729726" cy="871952"/>
      </dsp:txXfrm>
    </dsp:sp>
    <dsp:sp modelId="{05061B95-2746-43CB-82C0-96207308ED57}">
      <dsp:nvSpPr>
        <dsp:cNvPr id="0" name=""/>
        <dsp:cNvSpPr/>
      </dsp:nvSpPr>
      <dsp:spPr>
        <a:xfrm rot="5400000">
          <a:off x="877746" y="896856"/>
          <a:ext cx="126977" cy="21500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E25D5D-ABBC-48D0-A7E1-614DFBDFB32D}">
      <dsp:nvSpPr>
        <dsp:cNvPr id="0" name=""/>
        <dsp:cNvSpPr/>
      </dsp:nvSpPr>
      <dsp:spPr>
        <a:xfrm>
          <a:off x="49243" y="1082410"/>
          <a:ext cx="1783982" cy="926208"/>
        </a:xfrm>
        <a:prstGeom prst="roundRect">
          <a:avLst>
            <a:gd name="adj" fmla="val 10000"/>
          </a:avLst>
        </a:prstGeom>
        <a:solidFill>
          <a:srgbClr val="0070C0"/>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72000" lvl="0" indent="0" algn="l" defTabSz="355600">
            <a:lnSpc>
              <a:spcPct val="90000"/>
            </a:lnSpc>
            <a:spcBef>
              <a:spcPct val="0"/>
            </a:spcBef>
            <a:spcAft>
              <a:spcPct val="35000"/>
            </a:spcAft>
            <a:buNone/>
          </a:pPr>
          <a:r>
            <a:rPr lang="en-AU" sz="800" b="1" kern="1200">
              <a:solidFill>
                <a:schemeClr val="bg1"/>
              </a:solidFill>
            </a:rPr>
            <a:t>Step 2</a:t>
          </a:r>
          <a:endParaRPr lang="en-AU" sz="800" kern="1200">
            <a:solidFill>
              <a:schemeClr val="bg1"/>
            </a:solidFill>
          </a:endParaRPr>
        </a:p>
        <a:p>
          <a:pPr marL="72000" lvl="0" indent="0" algn="l" defTabSz="355600">
            <a:lnSpc>
              <a:spcPct val="90000"/>
            </a:lnSpc>
            <a:spcBef>
              <a:spcPct val="0"/>
            </a:spcBef>
            <a:spcAft>
              <a:spcPct val="35000"/>
            </a:spcAft>
            <a:buNone/>
          </a:pPr>
          <a:r>
            <a:rPr lang="en-AU" sz="800" kern="1200">
              <a:solidFill>
                <a:schemeClr val="bg1"/>
              </a:solidFill>
            </a:rPr>
            <a:t>Subtract the number of weeks of unpaid leave taken in the last 52 weeks (if any) from 52</a:t>
          </a:r>
        </a:p>
      </dsp:txBody>
      <dsp:txXfrm>
        <a:off x="76371" y="1109538"/>
        <a:ext cx="1729726" cy="871952"/>
      </dsp:txXfrm>
    </dsp:sp>
    <dsp:sp modelId="{5A66C2CC-B556-4BFC-9322-50CF953AE789}">
      <dsp:nvSpPr>
        <dsp:cNvPr id="0" name=""/>
        <dsp:cNvSpPr/>
      </dsp:nvSpPr>
      <dsp:spPr>
        <a:xfrm rot="5400000">
          <a:off x="877661" y="1984581"/>
          <a:ext cx="127146" cy="215008"/>
        </a:xfrm>
        <a:prstGeom prst="rightArrow">
          <a:avLst>
            <a:gd name="adj1" fmla="val 66700"/>
            <a:gd name="adj2" fmla="val 50000"/>
          </a:avLst>
        </a:prstGeom>
        <a:solidFill>
          <a:schemeClr val="accent1">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sp>
    <dsp:sp modelId="{238D517F-3037-40CF-95D1-BC5AC7EF9C5E}">
      <dsp:nvSpPr>
        <dsp:cNvPr id="0" name=""/>
        <dsp:cNvSpPr/>
      </dsp:nvSpPr>
      <dsp:spPr>
        <a:xfrm>
          <a:off x="49243" y="2164820"/>
          <a:ext cx="1783982" cy="926208"/>
        </a:xfrm>
        <a:prstGeom prst="roundRect">
          <a:avLst>
            <a:gd name="adj" fmla="val 1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72000" lvl="0" indent="0" algn="l" defTabSz="355600">
            <a:lnSpc>
              <a:spcPct val="90000"/>
            </a:lnSpc>
            <a:spcBef>
              <a:spcPct val="0"/>
            </a:spcBef>
            <a:spcAft>
              <a:spcPct val="35000"/>
            </a:spcAft>
            <a:buNone/>
          </a:pPr>
          <a:r>
            <a:rPr lang="en-AU" sz="800" b="1" kern="1200">
              <a:solidFill>
                <a:schemeClr val="bg1"/>
              </a:solidFill>
            </a:rPr>
            <a:t>Step 3</a:t>
          </a:r>
          <a:endParaRPr lang="en-AU" sz="800" kern="1200">
            <a:solidFill>
              <a:schemeClr val="bg1"/>
            </a:solidFill>
          </a:endParaRPr>
        </a:p>
        <a:p>
          <a:pPr marL="72000" lvl="0" indent="0" algn="l" defTabSz="355600">
            <a:lnSpc>
              <a:spcPct val="90000"/>
            </a:lnSpc>
            <a:spcBef>
              <a:spcPct val="0"/>
            </a:spcBef>
            <a:spcAft>
              <a:spcPct val="35000"/>
            </a:spcAft>
            <a:buNone/>
          </a:pPr>
          <a:r>
            <a:rPr lang="en-AU" sz="800" kern="1200">
              <a:solidFill>
                <a:schemeClr val="bg1"/>
              </a:solidFill>
            </a:rPr>
            <a:t>Divide the answer you got at step 1 by the answer you got at step 2</a:t>
          </a:r>
        </a:p>
      </dsp:txBody>
      <dsp:txXfrm>
        <a:off x="76371" y="2191948"/>
        <a:ext cx="1729726" cy="87195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9314-3744-47BA-B61F-0F90BB2C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16</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8381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3</cp:revision>
  <cp:lastPrinted>2015-01-28T03:08:00Z</cp:lastPrinted>
  <dcterms:created xsi:type="dcterms:W3CDTF">2019-06-20T06:46:00Z</dcterms:created>
  <dcterms:modified xsi:type="dcterms:W3CDTF">2019-06-20T07:03:00Z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