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8"/>
        <w:tblW w:w="9987" w:type="dxa"/>
        <w:tblCellMar>
          <w:left w:w="0" w:type="dxa"/>
          <w:right w:w="0" w:type="dxa"/>
        </w:tblCellMar>
        <w:tblLook w:val="04A0" w:firstRow="1" w:lastRow="0" w:firstColumn="1" w:lastColumn="0" w:noHBand="0" w:noVBand="1"/>
      </w:tblPr>
      <w:tblGrid>
        <w:gridCol w:w="9987"/>
      </w:tblGrid>
      <w:tr w:rsidR="004C5561" w:rsidRPr="008C748D" w:rsidTr="004C5561">
        <w:trPr>
          <w:trHeight w:val="859"/>
        </w:trPr>
        <w:tc>
          <w:tcPr>
            <w:tcW w:w="9987" w:type="dxa"/>
            <w:shd w:val="clear" w:color="auto" w:fill="auto"/>
            <w:vAlign w:val="bottom"/>
          </w:tcPr>
          <w:p w:rsidR="004C5561" w:rsidRPr="00116F6F" w:rsidRDefault="004C5561" w:rsidP="004C5561">
            <w:pPr>
              <w:pStyle w:val="DPCmainheading"/>
              <w:rPr>
                <w:sz w:val="46"/>
                <w:szCs w:val="46"/>
              </w:rPr>
            </w:pPr>
            <w:r w:rsidRPr="00116F6F">
              <w:rPr>
                <w:sz w:val="46"/>
                <w:szCs w:val="46"/>
              </w:rPr>
              <w:t>Long Service Leave in Victoria</w:t>
            </w:r>
          </w:p>
        </w:tc>
      </w:tr>
      <w:tr w:rsidR="004C5561" w:rsidRPr="008C748D" w:rsidTr="004C5561">
        <w:trPr>
          <w:trHeight w:val="282"/>
        </w:trPr>
        <w:tc>
          <w:tcPr>
            <w:tcW w:w="9987" w:type="dxa"/>
            <w:shd w:val="clear" w:color="auto" w:fill="auto"/>
            <w:tcMar>
              <w:top w:w="284" w:type="dxa"/>
              <w:bottom w:w="454" w:type="dxa"/>
            </w:tcMar>
          </w:tcPr>
          <w:p w:rsidR="004C5561" w:rsidRPr="004E10B9" w:rsidRDefault="004C5561" w:rsidP="004C5561">
            <w:pPr>
              <w:pStyle w:val="DPCmainsubheading"/>
              <w:rPr>
                <w:sz w:val="28"/>
                <w:szCs w:val="28"/>
              </w:rPr>
            </w:pPr>
            <w:r w:rsidRPr="004E10B9">
              <w:rPr>
                <w:sz w:val="28"/>
                <w:szCs w:val="28"/>
              </w:rPr>
              <w:t>Fact Sheet</w:t>
            </w:r>
            <w:r>
              <w:rPr>
                <w:sz w:val="28"/>
                <w:szCs w:val="28"/>
              </w:rPr>
              <w:t>s</w:t>
            </w:r>
          </w:p>
        </w:tc>
      </w:tr>
    </w:tbl>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D76013" w:rsidRDefault="00D76013" w:rsidP="00D76013">
      <w:pPr>
        <w:pStyle w:val="DPCbody"/>
        <w:spacing w:after="240"/>
        <w:rPr>
          <w:i/>
          <w:color w:val="7F7F7F" w:themeColor="text1" w:themeTint="80"/>
        </w:rPr>
      </w:pPr>
    </w:p>
    <w:p w:rsidR="004C5561" w:rsidRDefault="004C5561" w:rsidP="004878E1">
      <w:pPr>
        <w:pStyle w:val="DPCbody"/>
        <w:rPr>
          <w:color w:val="00559A" w:themeColor="accent1" w:themeShade="BF"/>
        </w:rPr>
      </w:pPr>
    </w:p>
    <w:p w:rsidR="004878E1" w:rsidRPr="007F3B6D" w:rsidRDefault="004878E1" w:rsidP="004878E1">
      <w:pPr>
        <w:pStyle w:val="DPCbody"/>
        <w:rPr>
          <w:color w:val="00559A" w:themeColor="accent1" w:themeShade="BF"/>
        </w:rPr>
      </w:pPr>
      <w:r w:rsidRPr="007F3B6D">
        <w:rPr>
          <w:color w:val="00559A" w:themeColor="accent1" w:themeShade="BF"/>
        </w:rPr>
        <w:t xml:space="preserve">The </w:t>
      </w:r>
      <w:r w:rsidRPr="007F3B6D">
        <w:rPr>
          <w:i/>
          <w:color w:val="00559A" w:themeColor="accent1" w:themeShade="BF"/>
        </w:rPr>
        <w:t>Long Service Leave Act 2018</w:t>
      </w:r>
      <w:r w:rsidRPr="007F3B6D">
        <w:rPr>
          <w:color w:val="00559A" w:themeColor="accent1" w:themeShade="BF"/>
        </w:rPr>
        <w:t xml:space="preserve"> (LSL Act 2018) commenced operation on 1 November 2018. It replaces the </w:t>
      </w:r>
      <w:r w:rsidRPr="007F3B6D">
        <w:rPr>
          <w:i/>
          <w:color w:val="00559A" w:themeColor="accent1" w:themeShade="BF"/>
        </w:rPr>
        <w:t>Long Service Leave Act 1992</w:t>
      </w:r>
      <w:r w:rsidRPr="007F3B6D">
        <w:rPr>
          <w:color w:val="00559A" w:themeColor="accent1" w:themeShade="BF"/>
        </w:rPr>
        <w:t>, following a legislative review, and broad industry and community consultation. The LSL Act 2018 brings long service leave into line with community standards, is easier to understand, and is fairer and more flexible.</w:t>
      </w:r>
    </w:p>
    <w:p w:rsidR="004878E1" w:rsidRPr="007F3B6D" w:rsidRDefault="004878E1" w:rsidP="004878E1">
      <w:pPr>
        <w:pStyle w:val="DPCbody"/>
        <w:rPr>
          <w:color w:val="00559A" w:themeColor="accent1" w:themeShade="BF"/>
        </w:rPr>
      </w:pPr>
      <w:r w:rsidRPr="007F3B6D">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w:t>
      </w:r>
      <w:r w:rsidRPr="007F3B6D">
        <w:rPr>
          <w:i/>
          <w:color w:val="00559A" w:themeColor="accent1" w:themeShade="BF"/>
        </w:rPr>
        <w:t>Construction Industry Long Service Leave Act 1997</w:t>
      </w:r>
      <w:r w:rsidRPr="007F3B6D">
        <w:rPr>
          <w:color w:val="00559A" w:themeColor="accent1" w:themeShade="BF"/>
        </w:rPr>
        <w:t xml:space="preserve"> administered by CoINVEST for workers in the construction industry.</w:t>
      </w:r>
    </w:p>
    <w:p w:rsidR="004878E1" w:rsidRPr="00AB218B" w:rsidRDefault="004878E1" w:rsidP="004878E1">
      <w:pPr>
        <w:pStyle w:val="DPCbody"/>
        <w:rPr>
          <w:b/>
          <w:szCs w:val="20"/>
        </w:rPr>
      </w:pPr>
      <w:bookmarkStart w:id="0" w:name="_Hlk525047812"/>
      <w:r w:rsidRPr="00AB218B">
        <w:rPr>
          <w:b/>
          <w:szCs w:val="20"/>
        </w:rPr>
        <w:t>Th</w:t>
      </w:r>
      <w:r>
        <w:rPr>
          <w:b/>
          <w:szCs w:val="20"/>
        </w:rPr>
        <w:t>e</w:t>
      </w:r>
      <w:r w:rsidRPr="00AB218B">
        <w:rPr>
          <w:b/>
          <w:szCs w:val="20"/>
        </w:rPr>
        <w:t>s</w:t>
      </w:r>
      <w:r>
        <w:rPr>
          <w:b/>
          <w:szCs w:val="20"/>
        </w:rPr>
        <w:t>e</w:t>
      </w:r>
      <w:r w:rsidRPr="00AB218B">
        <w:rPr>
          <w:b/>
          <w:szCs w:val="20"/>
        </w:rPr>
        <w:t xml:space="preserve"> fact sheet</w:t>
      </w:r>
      <w:r>
        <w:rPr>
          <w:b/>
          <w:szCs w:val="20"/>
        </w:rPr>
        <w:t>s</w:t>
      </w:r>
      <w:r w:rsidRPr="00AB218B">
        <w:rPr>
          <w:b/>
          <w:szCs w:val="20"/>
        </w:rPr>
        <w:t xml:space="preserve"> </w:t>
      </w:r>
      <w:r>
        <w:rPr>
          <w:b/>
          <w:szCs w:val="20"/>
        </w:rPr>
        <w:t>are</w:t>
      </w:r>
      <w:r w:rsidRPr="00AB218B">
        <w:rPr>
          <w:b/>
          <w:szCs w:val="20"/>
        </w:rPr>
        <w:t xml:space="preserve"> a summary only and must be read in conjunction with more detailed information including the </w:t>
      </w:r>
      <w:r w:rsidRPr="00B02B4A">
        <w:rPr>
          <w:b/>
          <w:i/>
          <w:szCs w:val="20"/>
        </w:rPr>
        <w:t>Comprehensive Guide to the Long Service Leave Act 2018</w:t>
      </w:r>
      <w:r w:rsidRPr="00AB218B">
        <w:rPr>
          <w:b/>
          <w:szCs w:val="20"/>
        </w:rPr>
        <w:t xml:space="preserve"> and the L</w:t>
      </w:r>
      <w:r>
        <w:rPr>
          <w:b/>
          <w:szCs w:val="20"/>
        </w:rPr>
        <w:t>SL</w:t>
      </w:r>
      <w:r w:rsidRPr="00AB218B">
        <w:rPr>
          <w:b/>
          <w:szCs w:val="20"/>
        </w:rPr>
        <w:t xml:space="preserve"> Act 2018 to establish whether it applies </w:t>
      </w:r>
      <w:r>
        <w:rPr>
          <w:b/>
          <w:szCs w:val="20"/>
        </w:rPr>
        <w:t>to your individual</w:t>
      </w:r>
      <w:r w:rsidRPr="00AB218B">
        <w:rPr>
          <w:b/>
          <w:szCs w:val="20"/>
        </w:rPr>
        <w:t xml:space="preserve"> circumstance</w:t>
      </w:r>
      <w:r>
        <w:rPr>
          <w:b/>
          <w:szCs w:val="20"/>
        </w:rPr>
        <w:t>s</w:t>
      </w:r>
      <w:r w:rsidRPr="00AB218B">
        <w:rPr>
          <w:b/>
          <w:szCs w:val="20"/>
        </w:rPr>
        <w:t>.</w:t>
      </w:r>
      <w:bookmarkEnd w:id="0"/>
    </w:p>
    <w:p w:rsidR="004878E1" w:rsidRDefault="004878E1" w:rsidP="004878E1">
      <w:pPr>
        <w:pStyle w:val="DPCbody"/>
      </w:pPr>
    </w:p>
    <w:p w:rsidR="004878E1" w:rsidRPr="007F3B6D" w:rsidRDefault="004878E1" w:rsidP="007F3B6D">
      <w:pPr>
        <w:pStyle w:val="DPCbody"/>
      </w:pPr>
      <w:r w:rsidRPr="007F3B6D">
        <w:t>Fact sheet no. 1</w:t>
      </w:r>
      <w:r w:rsidRPr="007F3B6D">
        <w:tab/>
        <w:t>Long Service Leave Act 2018 – the basics</w:t>
      </w:r>
    </w:p>
    <w:p w:rsidR="004878E1" w:rsidRPr="007F3B6D" w:rsidRDefault="004878E1" w:rsidP="007F3B6D">
      <w:pPr>
        <w:pStyle w:val="DPCbody"/>
      </w:pPr>
      <w:r w:rsidRPr="007F3B6D">
        <w:t>Fact sheet no. 2</w:t>
      </w:r>
      <w:r w:rsidRPr="007F3B6D">
        <w:tab/>
        <w:t>Taking long service leave</w:t>
      </w:r>
    </w:p>
    <w:p w:rsidR="004878E1" w:rsidRPr="007F3B6D" w:rsidRDefault="004878E1" w:rsidP="007F3B6D">
      <w:pPr>
        <w:pStyle w:val="DPCbody"/>
      </w:pPr>
      <w:r w:rsidRPr="007F3B6D">
        <w:t>Fact sheet no.</w:t>
      </w:r>
      <w:r w:rsidR="007F3B6D">
        <w:t xml:space="preserve"> </w:t>
      </w:r>
      <w:r w:rsidRPr="007F3B6D">
        <w:t>3</w:t>
      </w:r>
      <w:r w:rsidRPr="007F3B6D">
        <w:tab/>
        <w:t>LSL and termination of employment</w:t>
      </w:r>
    </w:p>
    <w:p w:rsidR="004878E1" w:rsidRPr="007F3B6D" w:rsidRDefault="004878E1" w:rsidP="007F3B6D">
      <w:pPr>
        <w:pStyle w:val="DPCbody"/>
      </w:pPr>
      <w:r w:rsidRPr="007F3B6D">
        <w:t>Fact sheet no.</w:t>
      </w:r>
      <w:r w:rsidR="007F3B6D">
        <w:t xml:space="preserve"> </w:t>
      </w:r>
      <w:r w:rsidRPr="007F3B6D">
        <w:t>4</w:t>
      </w:r>
      <w:r w:rsidRPr="007F3B6D">
        <w:tab/>
        <w:t>Long service leave and casual and seasonal employees</w:t>
      </w:r>
    </w:p>
    <w:p w:rsidR="004878E1" w:rsidRPr="007F3B6D" w:rsidRDefault="004878E1" w:rsidP="007F3B6D">
      <w:pPr>
        <w:pStyle w:val="DPCbody"/>
      </w:pPr>
      <w:r w:rsidRPr="007F3B6D">
        <w:t>Fact sheet no. 5</w:t>
      </w:r>
      <w:r w:rsidRPr="007F3B6D">
        <w:tab/>
        <w:t>‘One employer’</w:t>
      </w:r>
    </w:p>
    <w:p w:rsidR="004878E1" w:rsidRPr="007F3B6D" w:rsidRDefault="004878E1" w:rsidP="007F3B6D">
      <w:pPr>
        <w:pStyle w:val="DPCbody"/>
        <w:ind w:left="2160" w:hanging="2160"/>
      </w:pPr>
      <w:r w:rsidRPr="007F3B6D">
        <w:t>Fact sheet no.</w:t>
      </w:r>
      <w:r w:rsidR="007F3B6D">
        <w:t xml:space="preserve"> </w:t>
      </w:r>
      <w:r w:rsidRPr="007F3B6D">
        <w:t>6</w:t>
      </w:r>
      <w:r w:rsidRPr="007F3B6D">
        <w:tab/>
        <w:t>Accrual of long service leave – impact of leave, absences and interruptions to employment</w:t>
      </w:r>
    </w:p>
    <w:p w:rsidR="004878E1" w:rsidRPr="007F3B6D" w:rsidRDefault="004878E1" w:rsidP="007F3B6D">
      <w:pPr>
        <w:pStyle w:val="DPCbody"/>
      </w:pPr>
      <w:r w:rsidRPr="007F3B6D">
        <w:t>Fact sheet no. 7</w:t>
      </w:r>
      <w:r w:rsidRPr="007F3B6D">
        <w:tab/>
        <w:t>Ordinary pay</w:t>
      </w:r>
    </w:p>
    <w:p w:rsidR="004878E1" w:rsidRPr="007F3B6D" w:rsidRDefault="004878E1" w:rsidP="007F3B6D">
      <w:pPr>
        <w:pStyle w:val="DPCbody"/>
      </w:pPr>
      <w:r w:rsidRPr="007F3B6D">
        <w:t>Fact sheet no. 8</w:t>
      </w:r>
      <w:r w:rsidRPr="007F3B6D">
        <w:tab/>
        <w:t>Record keeping</w:t>
      </w:r>
      <w:r w:rsidRPr="007F3B6D">
        <w:tab/>
      </w:r>
      <w:r w:rsidRPr="007F3B6D">
        <w:tab/>
      </w:r>
    </w:p>
    <w:p w:rsidR="004878E1" w:rsidRPr="007F3B6D" w:rsidRDefault="004878E1" w:rsidP="007F3B6D">
      <w:pPr>
        <w:pStyle w:val="DPCbody"/>
      </w:pPr>
      <w:r w:rsidRPr="007F3B6D">
        <w:t>Fact sheet no. 9</w:t>
      </w:r>
      <w:r w:rsidRPr="007F3B6D">
        <w:tab/>
        <w:t>Penalties and enforcement</w:t>
      </w:r>
    </w:p>
    <w:p w:rsidR="004878E1" w:rsidRPr="007F3B6D" w:rsidRDefault="004878E1" w:rsidP="007F3B6D">
      <w:pPr>
        <w:pStyle w:val="DPCbody"/>
      </w:pPr>
      <w:r w:rsidRPr="007F3B6D">
        <w:t>Fact sheet no. 10</w:t>
      </w:r>
      <w:r w:rsidRPr="007F3B6D">
        <w:tab/>
        <w:t>Parental leave</w:t>
      </w:r>
    </w:p>
    <w:p w:rsidR="004878E1" w:rsidRPr="007F3B6D" w:rsidRDefault="004878E1" w:rsidP="007F3B6D">
      <w:pPr>
        <w:pStyle w:val="DPCbody"/>
        <w:ind w:left="2160" w:hanging="2160"/>
      </w:pPr>
      <w:r w:rsidRPr="007F3B6D">
        <w:t>Fact sheet no. 11</w:t>
      </w:r>
      <w:r w:rsidRPr="007F3B6D">
        <w:tab/>
        <w:t>Interaction between the Long Service Leave Act 2018 and other long service leave legislation</w:t>
      </w:r>
    </w:p>
    <w:p w:rsidR="004878E1" w:rsidRDefault="004878E1" w:rsidP="004878E1">
      <w:pPr>
        <w:pStyle w:val="DPCbody"/>
        <w:rPr>
          <w:rFonts w:ascii="Calibri" w:eastAsiaTheme="minorHAnsi" w:hAnsi="Calibri" w:cs="Calibri"/>
        </w:rPr>
      </w:pPr>
    </w:p>
    <w:p w:rsidR="007F3B6D" w:rsidRDefault="007F3B6D" w:rsidP="004878E1">
      <w:pPr>
        <w:pStyle w:val="Heading4"/>
      </w:pPr>
    </w:p>
    <w:p w:rsidR="004878E1" w:rsidRPr="00AB218B" w:rsidRDefault="004878E1" w:rsidP="004878E1">
      <w:pPr>
        <w:pStyle w:val="Heading4"/>
      </w:pPr>
      <w:r>
        <w:t>For m</w:t>
      </w:r>
      <w:r w:rsidRPr="004F230C">
        <w:t xml:space="preserve">ore </w:t>
      </w:r>
      <w:r>
        <w:t>i</w:t>
      </w:r>
      <w:r w:rsidRPr="004F230C">
        <w:t>nformation</w:t>
      </w:r>
      <w:r>
        <w:t xml:space="preserve">, see our </w:t>
      </w:r>
      <w:r w:rsidRPr="004F230C">
        <w:t>Comprehensive Guide</w:t>
      </w:r>
    </w:p>
    <w:p w:rsidR="004878E1" w:rsidRPr="00AB218B" w:rsidRDefault="004878E1" w:rsidP="004878E1">
      <w:pPr>
        <w:pStyle w:val="DPCbody"/>
        <w:rPr>
          <w:szCs w:val="20"/>
        </w:rPr>
      </w:pPr>
      <w:r w:rsidRPr="00AB218B">
        <w:rPr>
          <w:szCs w:val="20"/>
        </w:rPr>
        <w:t xml:space="preserve">The Victorian Government has published a </w:t>
      </w:r>
      <w:r w:rsidRPr="00B02B4A">
        <w:rPr>
          <w:i/>
          <w:szCs w:val="20"/>
        </w:rPr>
        <w:t>Comprehensive Guide to the Victorian Long Service Leave Act 2018</w:t>
      </w:r>
      <w:r w:rsidRPr="00AB218B">
        <w:rPr>
          <w:szCs w:val="20"/>
        </w:rPr>
        <w:t xml:space="preserve">. </w:t>
      </w:r>
      <w:r>
        <w:rPr>
          <w:szCs w:val="20"/>
        </w:rPr>
        <w:t>This</w:t>
      </w:r>
      <w:r w:rsidRPr="00AB218B">
        <w:rPr>
          <w:szCs w:val="20"/>
        </w:rPr>
        <w:t xml:space="preserve"> replaces the 1992 version </w:t>
      </w:r>
      <w:r>
        <w:rPr>
          <w:szCs w:val="20"/>
        </w:rPr>
        <w:t xml:space="preserve">and </w:t>
      </w:r>
      <w:r w:rsidRPr="00AB218B">
        <w:rPr>
          <w:szCs w:val="20"/>
        </w:rPr>
        <w:t>will make it easy for employers and employees to understand their rights and obligations.</w:t>
      </w:r>
    </w:p>
    <w:p w:rsidR="004878E1" w:rsidRPr="00AB218B" w:rsidRDefault="004878E1" w:rsidP="004878E1">
      <w:pPr>
        <w:pStyle w:val="DPCbody"/>
        <w:rPr>
          <w:szCs w:val="20"/>
        </w:rPr>
      </w:pPr>
      <w:r>
        <w:rPr>
          <w:szCs w:val="20"/>
        </w:rPr>
        <w:t>T</w:t>
      </w:r>
      <w:r w:rsidRPr="00AB218B">
        <w:rPr>
          <w:szCs w:val="20"/>
        </w:rPr>
        <w:t>he 2018 Comprehensive Guide is available to download at</w:t>
      </w:r>
      <w:r>
        <w:rPr>
          <w:rStyle w:val="Hyperlink"/>
          <w:szCs w:val="20"/>
        </w:rPr>
        <w:t xml:space="preserve"> </w:t>
      </w:r>
      <w:hyperlink r:id="rId15" w:history="1">
        <w:r w:rsidRPr="00B02B4A">
          <w:rPr>
            <w:rStyle w:val="Hyperlink"/>
            <w:szCs w:val="20"/>
          </w:rPr>
          <w:t>business.vic.gov.au/longserviceleave</w:t>
        </w:r>
      </w:hyperlink>
      <w:r w:rsidRPr="00AB218B">
        <w:rPr>
          <w:szCs w:val="20"/>
        </w:rPr>
        <w:t xml:space="preserve"> or call </w:t>
      </w:r>
      <w:r w:rsidRPr="00822C05">
        <w:rPr>
          <w:b/>
          <w:szCs w:val="20"/>
        </w:rPr>
        <w:t>1800 287 287</w:t>
      </w:r>
      <w:r w:rsidRPr="00AB218B">
        <w:rPr>
          <w:szCs w:val="20"/>
        </w:rPr>
        <w:t xml:space="preserve"> for a copy</w:t>
      </w:r>
      <w:r w:rsidR="007F3B6D">
        <w:rPr>
          <w:szCs w:val="20"/>
        </w:rPr>
        <w:t>.</w:t>
      </w:r>
    </w:p>
    <w:p w:rsidR="004878E1" w:rsidRPr="004F230C" w:rsidRDefault="004878E1" w:rsidP="007F3B6D">
      <w:pPr>
        <w:pStyle w:val="Heading4"/>
      </w:pPr>
      <w:bookmarkStart w:id="1" w:name="_GoBack"/>
      <w:bookmarkEnd w:id="1"/>
      <w:r>
        <w:t>Wage Inspectorate c</w:t>
      </w:r>
      <w:r w:rsidRPr="00AB218B">
        <w:t>ontact details</w:t>
      </w:r>
      <w:r w:rsidRPr="00AB218B">
        <w:tab/>
      </w:r>
      <w:r w:rsidRPr="004F230C">
        <w:t xml:space="preserve"> </w:t>
      </w:r>
    </w:p>
    <w:p w:rsidR="004878E1" w:rsidRPr="00AB218B" w:rsidRDefault="004878E1" w:rsidP="007F3B6D">
      <w:pPr>
        <w:pStyle w:val="DPCbody"/>
        <w:spacing w:after="0"/>
        <w:rPr>
          <w:szCs w:val="20"/>
        </w:rPr>
      </w:pPr>
      <w:r w:rsidRPr="00AB218B">
        <w:rPr>
          <w:szCs w:val="20"/>
        </w:rPr>
        <w:t>Website</w:t>
      </w:r>
      <w:r w:rsidRPr="00AB218B">
        <w:rPr>
          <w:szCs w:val="20"/>
        </w:rPr>
        <w:tab/>
      </w:r>
      <w:r w:rsidRPr="00AB218B">
        <w:rPr>
          <w:szCs w:val="20"/>
        </w:rPr>
        <w:tab/>
      </w:r>
      <w:hyperlink r:id="rId16" w:history="1">
        <w:r w:rsidRPr="00B02B4A">
          <w:rPr>
            <w:rStyle w:val="Hyperlink"/>
            <w:szCs w:val="20"/>
          </w:rPr>
          <w:t>business.vic.gov.au/longserviceleave</w:t>
        </w:r>
      </w:hyperlink>
      <w:r w:rsidRPr="00AB218B">
        <w:rPr>
          <w:szCs w:val="20"/>
        </w:rPr>
        <w:t xml:space="preserve"> </w:t>
      </w:r>
    </w:p>
    <w:p w:rsidR="004878E1" w:rsidRPr="00AB218B" w:rsidRDefault="004878E1" w:rsidP="007F3B6D">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7" w:history="1">
        <w:r w:rsidRPr="00AC600A">
          <w:rPr>
            <w:rStyle w:val="Hyperlink"/>
            <w:szCs w:val="20"/>
          </w:rPr>
          <w:t>longserviceleave@dpc.vic.gov.au</w:t>
        </w:r>
      </w:hyperlink>
    </w:p>
    <w:p w:rsidR="004878E1" w:rsidRPr="00AB218B" w:rsidRDefault="004878E1" w:rsidP="007F3B6D">
      <w:pPr>
        <w:pStyle w:val="DPCbody"/>
        <w:spacing w:after="0"/>
        <w:rPr>
          <w:szCs w:val="20"/>
        </w:rPr>
      </w:pPr>
      <w:r w:rsidRPr="00AB218B">
        <w:rPr>
          <w:szCs w:val="20"/>
        </w:rPr>
        <w:t>Phone</w:t>
      </w:r>
      <w:r w:rsidRPr="00AB218B">
        <w:rPr>
          <w:szCs w:val="20"/>
        </w:rPr>
        <w:tab/>
      </w:r>
      <w:r w:rsidRPr="00AB218B">
        <w:rPr>
          <w:szCs w:val="20"/>
        </w:rPr>
        <w:tab/>
      </w:r>
      <w:r w:rsidRPr="00AB218B">
        <w:rPr>
          <w:szCs w:val="20"/>
        </w:rPr>
        <w:tab/>
        <w:t>1800 287 287</w:t>
      </w:r>
    </w:p>
    <w:p w:rsidR="004878E1" w:rsidRPr="00AB218B" w:rsidRDefault="004878E1" w:rsidP="007F3B6D">
      <w:pPr>
        <w:pStyle w:val="DPCbody"/>
        <w:spacing w:after="0"/>
        <w:rPr>
          <w:szCs w:val="20"/>
        </w:rPr>
      </w:pPr>
      <w:r w:rsidRPr="00AB218B">
        <w:rPr>
          <w:szCs w:val="20"/>
        </w:rPr>
        <w:t>Facsimile</w:t>
      </w:r>
      <w:r w:rsidRPr="00AB218B">
        <w:rPr>
          <w:szCs w:val="20"/>
        </w:rPr>
        <w:tab/>
      </w:r>
      <w:r w:rsidRPr="00AB218B">
        <w:rPr>
          <w:szCs w:val="20"/>
        </w:rPr>
        <w:tab/>
        <w:t>9651 9703</w:t>
      </w:r>
    </w:p>
    <w:p w:rsidR="004878E1" w:rsidRPr="00AB218B" w:rsidRDefault="004878E1" w:rsidP="007F3B6D">
      <w:pPr>
        <w:pStyle w:val="DPCbody"/>
        <w:spacing w:after="0"/>
        <w:rPr>
          <w:szCs w:val="20"/>
        </w:rPr>
      </w:pPr>
    </w:p>
    <w:p w:rsidR="004878E1" w:rsidRPr="00AB218B" w:rsidRDefault="004878E1" w:rsidP="007F3B6D">
      <w:pPr>
        <w:pStyle w:val="DPCbody"/>
        <w:spacing w:after="0"/>
        <w:rPr>
          <w:szCs w:val="20"/>
        </w:rPr>
      </w:pPr>
      <w:r w:rsidRPr="00AB218B">
        <w:rPr>
          <w:szCs w:val="20"/>
        </w:rPr>
        <w:t>Wage Inspectorate Victoria</w:t>
      </w:r>
    </w:p>
    <w:p w:rsidR="004878E1" w:rsidRPr="00AB218B" w:rsidRDefault="004878E1" w:rsidP="007F3B6D">
      <w:pPr>
        <w:pStyle w:val="DPCbody"/>
        <w:spacing w:after="0"/>
        <w:rPr>
          <w:szCs w:val="20"/>
        </w:rPr>
      </w:pPr>
      <w:r w:rsidRPr="00AB218B">
        <w:rPr>
          <w:szCs w:val="20"/>
        </w:rPr>
        <w:t xml:space="preserve">Department of </w:t>
      </w:r>
      <w:r>
        <w:rPr>
          <w:szCs w:val="20"/>
        </w:rPr>
        <w:t>Premier and Cabinet</w:t>
      </w:r>
    </w:p>
    <w:p w:rsidR="004878E1" w:rsidRPr="00AB218B" w:rsidRDefault="004878E1" w:rsidP="007F3B6D">
      <w:pPr>
        <w:pStyle w:val="DPCbody"/>
        <w:spacing w:after="0"/>
        <w:rPr>
          <w:szCs w:val="20"/>
        </w:rPr>
      </w:pPr>
      <w:r w:rsidRPr="00AB218B">
        <w:rPr>
          <w:szCs w:val="20"/>
        </w:rPr>
        <w:t>GPO Box 2392</w:t>
      </w:r>
    </w:p>
    <w:p w:rsidR="004878E1" w:rsidRPr="00AB218B" w:rsidRDefault="004878E1" w:rsidP="007F3B6D">
      <w:pPr>
        <w:pStyle w:val="DPCbody"/>
        <w:spacing w:after="0"/>
        <w:rPr>
          <w:szCs w:val="20"/>
        </w:rPr>
      </w:pPr>
      <w:r w:rsidRPr="00AB218B">
        <w:rPr>
          <w:szCs w:val="20"/>
        </w:rPr>
        <w:t>Melbourne VICTORIA 3001</w:t>
      </w:r>
    </w:p>
    <w:p w:rsidR="004878E1" w:rsidRPr="005E1115" w:rsidRDefault="004878E1" w:rsidP="004878E1">
      <w:pPr>
        <w:pStyle w:val="DPCbody"/>
        <w:rPr>
          <w:b/>
          <w:szCs w:val="20"/>
        </w:rPr>
      </w:pPr>
    </w:p>
    <w:p w:rsidR="004878E1" w:rsidRPr="007F3B6D" w:rsidRDefault="004878E1" w:rsidP="004878E1">
      <w:pPr>
        <w:pStyle w:val="DPCbody"/>
        <w:rPr>
          <w:rFonts w:ascii="Calibri" w:hAnsi="Calibri"/>
          <w:i/>
          <w:color w:val="7F7F7F" w:themeColor="text1" w:themeTint="80"/>
        </w:rPr>
      </w:pPr>
      <w:r w:rsidRPr="007F3B6D">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7F3B6D" w:rsidRDefault="004878E1" w:rsidP="004878E1">
      <w:pPr>
        <w:pStyle w:val="DPCbody"/>
        <w:rPr>
          <w:i/>
          <w:color w:val="7F7F7F" w:themeColor="text1" w:themeTint="80"/>
          <w:sz w:val="24"/>
        </w:rPr>
        <w:sectPr w:rsidR="004878E1" w:rsidRPr="007F3B6D" w:rsidSect="0049494C">
          <w:footerReference w:type="default" r:id="rId18"/>
          <w:headerReference w:type="first" r:id="rId19"/>
          <w:footerReference w:type="first" r:id="rId20"/>
          <w:type w:val="continuous"/>
          <w:pgSz w:w="11906" w:h="16838"/>
          <w:pgMar w:top="747" w:right="1440" w:bottom="1440" w:left="1440" w:header="1361" w:footer="567" w:gutter="0"/>
          <w:cols w:space="708"/>
          <w:docGrid w:linePitch="360"/>
        </w:sectPr>
      </w:pPr>
      <w:r w:rsidRPr="007F3B6D">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D76013" w:rsidRDefault="004878E1" w:rsidP="00D76013">
      <w:pPr>
        <w:pStyle w:val="DPCbody"/>
        <w:spacing w:after="240"/>
        <w:rPr>
          <w:i/>
          <w:color w:val="7F7F7F" w:themeColor="text1" w:themeTint="80"/>
        </w:rPr>
      </w:pPr>
    </w:p>
    <w:sectPr w:rsidR="004878E1" w:rsidRPr="00D76013" w:rsidSect="001B5CC1">
      <w:headerReference w:type="default" r:id="rId21"/>
      <w:footerReference w:type="default" r:id="rId22"/>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61" w:rsidRDefault="004C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6080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61" w:rsidRDefault="004C5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61312"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Index</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4144"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61" w:rsidRDefault="004C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63360"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61" w:rsidRDefault="004C5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59264"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7216"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1"/>
  </w:num>
  <w:num w:numId="11">
    <w:abstractNumId w:val="7"/>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5561"/>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9A02E9"/>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ngserviceleave@dpc.vic.gov.au" TargetMode="Externa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siness.vic.gov.au/longservicelea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5467-C238-448F-83B7-47157D1F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3237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4</cp:revision>
  <cp:lastPrinted>2015-01-28T03:08:00Z</cp:lastPrinted>
  <dcterms:created xsi:type="dcterms:W3CDTF">2019-06-20T05:37:00Z</dcterms:created>
  <dcterms:modified xsi:type="dcterms:W3CDTF">2019-06-20T06:18:00Z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