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23"/>
        <w:tblW w:w="9987" w:type="dxa"/>
        <w:tblCellMar>
          <w:left w:w="0" w:type="dxa"/>
          <w:right w:w="0" w:type="dxa"/>
        </w:tblCellMar>
        <w:tblLook w:val="04A0" w:firstRow="1" w:lastRow="0" w:firstColumn="1" w:lastColumn="0" w:noHBand="0" w:noVBand="1"/>
      </w:tblPr>
      <w:tblGrid>
        <w:gridCol w:w="9987"/>
      </w:tblGrid>
      <w:tr w:rsidR="00282D0A" w:rsidRPr="008C748D" w:rsidTr="00282D0A">
        <w:trPr>
          <w:trHeight w:val="859"/>
        </w:trPr>
        <w:tc>
          <w:tcPr>
            <w:tcW w:w="9987" w:type="dxa"/>
            <w:shd w:val="clear" w:color="auto" w:fill="auto"/>
            <w:vAlign w:val="bottom"/>
          </w:tcPr>
          <w:p w:rsidR="00282D0A" w:rsidRPr="00116F6F" w:rsidRDefault="00282D0A" w:rsidP="00282D0A">
            <w:pPr>
              <w:pStyle w:val="DPCmainheading"/>
              <w:rPr>
                <w:sz w:val="46"/>
                <w:szCs w:val="46"/>
              </w:rPr>
            </w:pPr>
            <w:r w:rsidRPr="00116F6F">
              <w:rPr>
                <w:sz w:val="46"/>
                <w:szCs w:val="46"/>
              </w:rPr>
              <w:t>Long Service Leave in Victoria</w:t>
            </w:r>
          </w:p>
        </w:tc>
      </w:tr>
      <w:tr w:rsidR="00282D0A" w:rsidRPr="008C748D" w:rsidTr="00282D0A">
        <w:trPr>
          <w:trHeight w:val="282"/>
        </w:trPr>
        <w:tc>
          <w:tcPr>
            <w:tcW w:w="9987" w:type="dxa"/>
            <w:shd w:val="clear" w:color="auto" w:fill="auto"/>
            <w:tcMar>
              <w:top w:w="284" w:type="dxa"/>
              <w:bottom w:w="454" w:type="dxa"/>
            </w:tcMar>
          </w:tcPr>
          <w:p w:rsidR="00282D0A" w:rsidRPr="004E10B9" w:rsidRDefault="00282D0A" w:rsidP="00282D0A">
            <w:pPr>
              <w:pStyle w:val="DPCmainsubheading"/>
              <w:rPr>
                <w:sz w:val="28"/>
                <w:szCs w:val="28"/>
              </w:rPr>
            </w:pPr>
            <w:r w:rsidRPr="004E10B9">
              <w:rPr>
                <w:sz w:val="28"/>
                <w:szCs w:val="28"/>
              </w:rPr>
              <w:t>Fact Sheet</w:t>
            </w:r>
            <w:r>
              <w:rPr>
                <w:sz w:val="28"/>
                <w:szCs w:val="28"/>
              </w:rPr>
              <w:t xml:space="preserve"> No. 4</w:t>
            </w:r>
            <w:r>
              <w:rPr>
                <w:sz w:val="28"/>
                <w:szCs w:val="28"/>
              </w:rPr>
              <w:br/>
            </w:r>
            <w:r>
              <w:rPr>
                <w:sz w:val="28"/>
                <w:szCs w:val="28"/>
              </w:rPr>
              <w:t>L</w:t>
            </w:r>
            <w:r>
              <w:rPr>
                <w:sz w:val="28"/>
                <w:szCs w:val="28"/>
              </w:rPr>
              <w:t>ong service leave</w:t>
            </w:r>
            <w:r>
              <w:rPr>
                <w:sz w:val="28"/>
                <w:szCs w:val="28"/>
              </w:rPr>
              <w:br/>
              <w:t>Casual and seasonal employees</w:t>
            </w:r>
          </w:p>
        </w:tc>
      </w:tr>
    </w:tbl>
    <w:p w:rsidR="00C07B16" w:rsidRPr="008C748D" w:rsidRDefault="00C07B16" w:rsidP="00C37731">
      <w:pPr>
        <w:pStyle w:val="Spacerparatopoffirstpage"/>
        <w:rPr>
          <w:noProof w:val="0"/>
        </w:rPr>
        <w:sectPr w:rsidR="00C07B16" w:rsidRPr="008C748D" w:rsidSect="00CE750D">
          <w:headerReference w:type="default" r:id="rId8"/>
          <w:footerReference w:type="default" r:id="rId9"/>
          <w:type w:val="continuous"/>
          <w:pgSz w:w="11906" w:h="16838" w:code="9"/>
          <w:pgMar w:top="567" w:right="851" w:bottom="1134" w:left="1134" w:header="510" w:footer="510" w:gutter="0"/>
          <w:cols w:space="340"/>
          <w:docGrid w:linePitch="360"/>
        </w:sectPr>
      </w:pPr>
    </w:p>
    <w:p w:rsidR="00893AF6" w:rsidRPr="00741FE7" w:rsidRDefault="0075285D" w:rsidP="004E10B9">
      <w:pPr>
        <w:pStyle w:val="Spacerparatopoffirstpage"/>
        <w:rPr>
          <w:noProof w:val="0"/>
        </w:rPr>
      </w:pPr>
      <w:r>
        <w:rPr>
          <w:lang w:eastAsia="en-AU"/>
        </w:rPr>
        <w:drawing>
          <wp:anchor distT="0" distB="0" distL="114300" distR="114300" simplePos="0" relativeHeight="251654656" behindDoc="1" locked="1" layoutInCell="0" allowOverlap="1" wp14:anchorId="0F4C83A7" wp14:editId="63A1D12C">
            <wp:simplePos x="0" y="0"/>
            <wp:positionH relativeFrom="page">
              <wp:posOffset>-441325</wp:posOffset>
            </wp:positionH>
            <wp:positionV relativeFrom="page">
              <wp:posOffset>323850</wp:posOffset>
            </wp:positionV>
            <wp:extent cx="8002270" cy="1600200"/>
            <wp:effectExtent l="0" t="0" r="0" b="0"/>
            <wp:wrapNone/>
            <wp:docPr id="4" name="Picture 4" descr="Decora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0">
                      <a:extLst>
                        <a:ext uri="{28A0092B-C50C-407E-A947-70E740481C1C}">
                          <a14:useLocalDpi xmlns:a14="http://schemas.microsoft.com/office/drawing/2010/main" val="0"/>
                        </a:ext>
                      </a:extLst>
                    </a:blip>
                    <a:stretch>
                      <a:fillRect/>
                    </a:stretch>
                  </pic:blipFill>
                  <pic:spPr>
                    <a:xfrm>
                      <a:off x="0" y="0"/>
                      <a:ext cx="8002270" cy="1600200"/>
                    </a:xfrm>
                    <a:prstGeom prst="rect">
                      <a:avLst/>
                    </a:prstGeom>
                  </pic:spPr>
                </pic:pic>
              </a:graphicData>
            </a:graphic>
            <wp14:sizeRelH relativeFrom="margin">
              <wp14:pctWidth>0</wp14:pctWidth>
            </wp14:sizeRelH>
            <wp14:sizeRelV relativeFrom="margin">
              <wp14:pctHeight>0</wp14:pctHeight>
            </wp14:sizeRelV>
          </wp:anchor>
        </w:drawing>
      </w:r>
    </w:p>
    <w:p w:rsidR="00282D0A" w:rsidRDefault="00282D0A" w:rsidP="00BA224E">
      <w:pPr>
        <w:pStyle w:val="DPCbody"/>
        <w:rPr>
          <w:color w:val="00559A" w:themeColor="accent1" w:themeShade="BF"/>
        </w:rPr>
      </w:pPr>
    </w:p>
    <w:p w:rsidR="00BA224E" w:rsidRPr="00BA224E" w:rsidRDefault="00BA224E" w:rsidP="00BA224E">
      <w:pPr>
        <w:pStyle w:val="DPCbody"/>
        <w:rPr>
          <w:color w:val="00559A" w:themeColor="accent1" w:themeShade="BF"/>
        </w:rPr>
      </w:pPr>
      <w:r w:rsidRPr="00BA224E">
        <w:rPr>
          <w:color w:val="00559A" w:themeColor="accent1" w:themeShade="BF"/>
        </w:rPr>
        <w:t>The new Long Service Leave Act 2018 (LSL Act 2018) commenced operation on 1 November 2018. It replaces the Long Service Leave Act 1992, following a legislative review, and broad industry and community consultation. The LSL Act 2018 brings long service leave into line with community standards, is easier to understand, and is fairer and more flexible.</w:t>
      </w:r>
    </w:p>
    <w:p w:rsidR="00BA224E" w:rsidRPr="00BA224E" w:rsidRDefault="00BA224E" w:rsidP="00BA224E">
      <w:pPr>
        <w:pStyle w:val="DPCbody"/>
        <w:rPr>
          <w:color w:val="00559A" w:themeColor="accent1" w:themeShade="BF"/>
        </w:rPr>
      </w:pPr>
      <w:r w:rsidRPr="00BA224E">
        <w:rPr>
          <w:color w:val="00559A" w:themeColor="accent1" w:themeShade="BF"/>
        </w:rPr>
        <w:t xml:space="preserve">The LSL Act 2018 covers most Victorian employees. However, the LSL Act 2018 will not apply to certain employees who are covered by federal enterprise agreements or pre-reform awards, or by other Victorian legislation that includes long service leave entitlements, e.g. the Construction Industry Long Service Leave Act 1997 administered by </w:t>
      </w:r>
      <w:proofErr w:type="spellStart"/>
      <w:r w:rsidRPr="00BA224E">
        <w:rPr>
          <w:color w:val="00559A" w:themeColor="accent1" w:themeShade="BF"/>
        </w:rPr>
        <w:t>CoINVEST</w:t>
      </w:r>
      <w:proofErr w:type="spellEnd"/>
      <w:r w:rsidRPr="00BA224E">
        <w:rPr>
          <w:color w:val="00559A" w:themeColor="accent1" w:themeShade="BF"/>
        </w:rPr>
        <w:t xml:space="preserve"> for workers in the construction industry.</w:t>
      </w:r>
    </w:p>
    <w:p w:rsidR="00BA224E" w:rsidRPr="00BA224E" w:rsidRDefault="00BA224E" w:rsidP="00BA224E">
      <w:pPr>
        <w:pStyle w:val="DPCbody"/>
        <w:rPr>
          <w:b/>
        </w:rPr>
      </w:pPr>
      <w:r w:rsidRPr="00BA224E">
        <w:rPr>
          <w:b/>
        </w:rPr>
        <w:t>This fact sheet is a summary only and must be read in conjunction with more detailed information including the Comprehensive Guide to the Long Service Leave Act 2018 and the LSL Act 2018 to establish whether it applies to your individual circumstances.</w:t>
      </w:r>
    </w:p>
    <w:p w:rsidR="00282D0A" w:rsidRDefault="00282D0A" w:rsidP="00282D0A">
      <w:pPr>
        <w:pStyle w:val="Heading4"/>
      </w:pPr>
      <w:r>
        <w:t>Casual, seasonal and fixed term employees accrue long service leave</w:t>
      </w:r>
    </w:p>
    <w:p w:rsidR="00282D0A" w:rsidRDefault="00282D0A" w:rsidP="00282D0A">
      <w:pPr>
        <w:pStyle w:val="DPCbody"/>
      </w:pPr>
      <w:r>
        <w:t>The LSL Act entitles full time, part time, casual, seasonal and fixed term employees to long service leave where their employment has been ‘continuous’. Under the Act, this means that there must not be an absence of more than 12 weeks between any two instances of employment, unless:</w:t>
      </w:r>
    </w:p>
    <w:p w:rsidR="00282D0A" w:rsidRPr="00282D0A" w:rsidRDefault="00282D0A" w:rsidP="00282D0A">
      <w:pPr>
        <w:pStyle w:val="DPCbullet1"/>
      </w:pPr>
      <w:r w:rsidRPr="00282D0A">
        <w:t xml:space="preserve">the employee and the employer so agree before the start of the absence, or </w:t>
      </w:r>
    </w:p>
    <w:p w:rsidR="00282D0A" w:rsidRPr="00282D0A" w:rsidRDefault="00282D0A" w:rsidP="00282D0A">
      <w:pPr>
        <w:pStyle w:val="DPCbullet1"/>
      </w:pPr>
      <w:r w:rsidRPr="00282D0A">
        <w:t xml:space="preserve">the absence is in accordance with the terms of the engagement, or </w:t>
      </w:r>
    </w:p>
    <w:p w:rsidR="00282D0A" w:rsidRPr="00282D0A" w:rsidRDefault="00282D0A" w:rsidP="00282D0A">
      <w:pPr>
        <w:pStyle w:val="DPCbullet1"/>
      </w:pPr>
      <w:r w:rsidRPr="00282D0A">
        <w:t xml:space="preserve">the absence is caused by seasonal factors, or </w:t>
      </w:r>
    </w:p>
    <w:p w:rsidR="00282D0A" w:rsidRPr="00282D0A" w:rsidRDefault="00282D0A" w:rsidP="00282D0A">
      <w:pPr>
        <w:pStyle w:val="DPCbullet1"/>
      </w:pPr>
      <w:r w:rsidRPr="00282D0A">
        <w:t>the employee has been employed on a regular and systematic basis and has a reasonable expectation of being re-engaged.</w:t>
      </w:r>
    </w:p>
    <w:p w:rsidR="00282D0A" w:rsidRDefault="00282D0A" w:rsidP="00282D0A">
      <w:pPr>
        <w:pStyle w:val="Heading4"/>
      </w:pPr>
      <w:r>
        <w:t xml:space="preserve">Long service leave accrual for casual or seasonal employees and parental leave </w:t>
      </w:r>
    </w:p>
    <w:p w:rsidR="00282D0A" w:rsidRDefault="00282D0A" w:rsidP="00282D0A">
      <w:pPr>
        <w:pStyle w:val="DPCbody"/>
      </w:pPr>
      <w:r>
        <w:t>Under the new Act, a casual or seasonal employee can take up to 104 weeks paid or unpaid parental leave before their continuous employment may be interrupted.</w:t>
      </w:r>
    </w:p>
    <w:p w:rsidR="00282D0A" w:rsidRDefault="00282D0A" w:rsidP="00282D0A">
      <w:pPr>
        <w:pStyle w:val="Heading4"/>
      </w:pPr>
      <w:r>
        <w:t>Calculation of entitlement (</w:t>
      </w:r>
      <w:r w:rsidRPr="00282D0A">
        <w:rPr>
          <w:i/>
        </w:rPr>
        <w:t>also see</w:t>
      </w:r>
      <w:r>
        <w:t xml:space="preserve"> ‘Ordinary Pay’ Fact Sheet No. 7)</w:t>
      </w:r>
    </w:p>
    <w:p w:rsidR="00282D0A" w:rsidRDefault="00282D0A" w:rsidP="00282D0A">
      <w:pPr>
        <w:pStyle w:val="DPCbody"/>
      </w:pPr>
      <w:r>
        <w:t xml:space="preserve">Casual and seasonal employees accrue long service leave in the same way as part-time and full-time employees, accruing one week of long service leave for every 60 weeks continuous employment. The calculation of the amount paid will take account of the varying hours of work. An employee is entitled to be paid their long service leave based on their ‘ordinary pay’. Under the LSL Act 2018, the ordinary pay is the actual pay received by an employee </w:t>
      </w:r>
      <w:r>
        <w:lastRenderedPageBreak/>
        <w:t xml:space="preserve">for working his or her normal weekly hours and ordinary time rate of pay at the time the leave is taken or is to be paid out on termination. </w:t>
      </w:r>
    </w:p>
    <w:p w:rsidR="00282D0A" w:rsidRDefault="00282D0A" w:rsidP="00282D0A">
      <w:pPr>
        <w:pStyle w:val="Heading4"/>
      </w:pPr>
      <w:r>
        <w:t>Casuals or employees who do not have normal weekly hours</w:t>
      </w:r>
    </w:p>
    <w:p w:rsidR="00282D0A" w:rsidRDefault="00282D0A" w:rsidP="00282D0A">
      <w:pPr>
        <w:pStyle w:val="DPCbody"/>
      </w:pPr>
      <w:r>
        <w:t xml:space="preserve">If an employee changes their weekly hours in the last 2 years or does not have fixed hours of work, as is the case for casual employees, the employee’s hours of work are averaged for the purposes of calculating long service leave. </w:t>
      </w:r>
    </w:p>
    <w:p w:rsidR="00282D0A" w:rsidRDefault="00282D0A" w:rsidP="00282D0A">
      <w:pPr>
        <w:pStyle w:val="DPCbody"/>
      </w:pPr>
      <w:r>
        <w:t>The Act sets out a detailed formula to assist in the averaging calculation. See ‘Ordinary Pay’ fact sheet no.7.</w:t>
      </w:r>
    </w:p>
    <w:p w:rsidR="00282D0A" w:rsidRDefault="00282D0A" w:rsidP="00282D0A">
      <w:pPr>
        <w:pStyle w:val="Heading4"/>
      </w:pPr>
      <w:r>
        <w:t>Averaging ordinary time rate of pay</w:t>
      </w:r>
    </w:p>
    <w:p w:rsidR="00282D0A" w:rsidRDefault="00282D0A" w:rsidP="00282D0A">
      <w:pPr>
        <w:pStyle w:val="DPCbody"/>
      </w:pPr>
      <w:r>
        <w:t>Once the average weekly hours are calculated, these are paid at the employee’s ordinary time rate of pay. If the employee does not have an ‘ordinary rate’, perhaps due to being paid partially on commission or paid piece work rates (see Calculation of entitlement fact sheet for more detailed information) then averaging requirements apply. A casual employee’s ordinary rate includes the casual loading. The rate will be the greatest of the average earned over either the last 52 weeks, 260 weeks or entire period of employment.</w:t>
      </w:r>
    </w:p>
    <w:p w:rsidR="00BA224E" w:rsidRPr="00BA224E" w:rsidRDefault="00BA224E" w:rsidP="00BA224E">
      <w:pPr>
        <w:pStyle w:val="Heading4"/>
      </w:pPr>
      <w:r w:rsidRPr="00BA224E">
        <w:t>For more information, see our Comprehensive Guide</w:t>
      </w:r>
    </w:p>
    <w:p w:rsidR="00BA224E" w:rsidRPr="00BA224E" w:rsidRDefault="00BA224E" w:rsidP="00BA224E">
      <w:pPr>
        <w:pStyle w:val="DPCbody"/>
      </w:pPr>
      <w:r w:rsidRPr="00BA224E">
        <w:t>The Victorian Government has published a Comprehensive Guide to the Victorian Long Service Leave Act 2018. This replaces the 1992 version and will make it easy for employers and employees to understand their rights and obligations.</w:t>
      </w:r>
    </w:p>
    <w:p w:rsidR="00BA224E" w:rsidRPr="00BA224E" w:rsidRDefault="00BA224E" w:rsidP="00BA224E">
      <w:pPr>
        <w:pStyle w:val="DPCbody"/>
      </w:pPr>
      <w:r w:rsidRPr="00BA224E">
        <w:t>The 2018 Comprehensive Guide is available to download at business.vic.gov.au/</w:t>
      </w:r>
      <w:proofErr w:type="spellStart"/>
      <w:r w:rsidRPr="00BA224E">
        <w:t>longserviceleave</w:t>
      </w:r>
      <w:proofErr w:type="spellEnd"/>
      <w:r w:rsidRPr="00BA224E">
        <w:t xml:space="preserve"> or call 1800 287 287 for a copy.</w:t>
      </w:r>
    </w:p>
    <w:p w:rsidR="00BA224E" w:rsidRPr="00BA224E" w:rsidRDefault="00BA224E" w:rsidP="00BA224E">
      <w:pPr>
        <w:pStyle w:val="Heading4"/>
      </w:pPr>
      <w:r w:rsidRPr="00BA224E">
        <w:t>Wage Inspectorate contact details</w:t>
      </w:r>
      <w:r w:rsidRPr="00BA224E">
        <w:tab/>
        <w:t xml:space="preserve"> </w:t>
      </w:r>
    </w:p>
    <w:p w:rsidR="00BA224E" w:rsidRPr="00AB218B" w:rsidRDefault="00BA224E" w:rsidP="00BA224E">
      <w:pPr>
        <w:pStyle w:val="DPCbody"/>
        <w:spacing w:after="0"/>
        <w:rPr>
          <w:szCs w:val="20"/>
        </w:rPr>
      </w:pPr>
      <w:r w:rsidRPr="00BA224E">
        <w:t>Website</w:t>
      </w:r>
      <w:r w:rsidRPr="00BA224E">
        <w:tab/>
      </w:r>
      <w:r w:rsidRPr="00BA224E">
        <w:tab/>
      </w:r>
      <w:hyperlink r:id="rId11" w:history="1">
        <w:r w:rsidRPr="00B02B4A">
          <w:rPr>
            <w:rStyle w:val="Hyperlink"/>
            <w:szCs w:val="20"/>
          </w:rPr>
          <w:t>business.vic.gov.au/</w:t>
        </w:r>
        <w:proofErr w:type="spellStart"/>
        <w:r w:rsidRPr="00B02B4A">
          <w:rPr>
            <w:rStyle w:val="Hyperlink"/>
            <w:szCs w:val="20"/>
          </w:rPr>
          <w:t>longserviceleave</w:t>
        </w:r>
        <w:proofErr w:type="spellEnd"/>
      </w:hyperlink>
      <w:r w:rsidRPr="00AB218B">
        <w:rPr>
          <w:szCs w:val="20"/>
        </w:rPr>
        <w:t xml:space="preserve"> </w:t>
      </w:r>
    </w:p>
    <w:p w:rsidR="00BA224E" w:rsidRPr="00AB218B" w:rsidRDefault="00BA224E" w:rsidP="00BA224E">
      <w:pPr>
        <w:pStyle w:val="DPCbody"/>
        <w:spacing w:after="0"/>
        <w:rPr>
          <w:szCs w:val="20"/>
        </w:rPr>
      </w:pPr>
      <w:r w:rsidRPr="00AB218B">
        <w:rPr>
          <w:szCs w:val="20"/>
        </w:rPr>
        <w:t>Email</w:t>
      </w:r>
      <w:r w:rsidRPr="00AB218B">
        <w:rPr>
          <w:szCs w:val="20"/>
        </w:rPr>
        <w:tab/>
      </w:r>
      <w:r w:rsidRPr="00AB218B">
        <w:rPr>
          <w:szCs w:val="20"/>
        </w:rPr>
        <w:tab/>
      </w:r>
      <w:r w:rsidRPr="00AB218B">
        <w:rPr>
          <w:szCs w:val="20"/>
        </w:rPr>
        <w:tab/>
      </w:r>
      <w:hyperlink r:id="rId12" w:history="1">
        <w:r w:rsidRPr="00AC600A">
          <w:rPr>
            <w:rStyle w:val="Hyperlink"/>
            <w:szCs w:val="20"/>
          </w:rPr>
          <w:t>longserviceleave@dpc.vic.gov.au</w:t>
        </w:r>
      </w:hyperlink>
    </w:p>
    <w:p w:rsidR="00BA224E" w:rsidRPr="00BA224E" w:rsidRDefault="00BA224E" w:rsidP="00BA224E">
      <w:pPr>
        <w:pStyle w:val="DPCbody"/>
        <w:spacing w:after="0"/>
      </w:pPr>
      <w:r w:rsidRPr="00BA224E">
        <w:t>Phone</w:t>
      </w:r>
      <w:r w:rsidRPr="00BA224E">
        <w:tab/>
      </w:r>
      <w:r w:rsidRPr="00BA224E">
        <w:tab/>
      </w:r>
      <w:r w:rsidRPr="00BA224E">
        <w:tab/>
        <w:t>1800 287 287</w:t>
      </w:r>
    </w:p>
    <w:p w:rsidR="00BA224E" w:rsidRPr="00BA224E" w:rsidRDefault="00BA224E" w:rsidP="00BA224E">
      <w:pPr>
        <w:pStyle w:val="DPCbody"/>
        <w:spacing w:after="0"/>
      </w:pPr>
      <w:r w:rsidRPr="00BA224E">
        <w:t>Facsimile</w:t>
      </w:r>
      <w:r w:rsidRPr="00BA224E">
        <w:tab/>
      </w:r>
      <w:r w:rsidRPr="00BA224E">
        <w:tab/>
        <w:t>9651 9703</w:t>
      </w:r>
    </w:p>
    <w:p w:rsidR="00BA224E" w:rsidRPr="00BA224E" w:rsidRDefault="00BA224E" w:rsidP="00BA224E">
      <w:pPr>
        <w:pStyle w:val="DPCbody"/>
        <w:spacing w:after="0"/>
      </w:pPr>
    </w:p>
    <w:p w:rsidR="00BA224E" w:rsidRPr="00BA224E" w:rsidRDefault="00BA224E" w:rsidP="00BA224E">
      <w:pPr>
        <w:pStyle w:val="DPCbody"/>
        <w:spacing w:after="0"/>
      </w:pPr>
      <w:r w:rsidRPr="00BA224E">
        <w:t>Wage Inspectorate Victoria</w:t>
      </w:r>
    </w:p>
    <w:p w:rsidR="00BA224E" w:rsidRPr="00BA224E" w:rsidRDefault="00BA224E" w:rsidP="00BA224E">
      <w:pPr>
        <w:pStyle w:val="DPCbody"/>
        <w:spacing w:after="0"/>
      </w:pPr>
      <w:r w:rsidRPr="00BA224E">
        <w:t>Department of Premier and Ca</w:t>
      </w:r>
      <w:bookmarkStart w:id="0" w:name="_GoBack"/>
      <w:bookmarkEnd w:id="0"/>
      <w:r w:rsidRPr="00BA224E">
        <w:t>binet</w:t>
      </w:r>
    </w:p>
    <w:p w:rsidR="00BA224E" w:rsidRPr="00BA224E" w:rsidRDefault="00BA224E" w:rsidP="00BA224E">
      <w:pPr>
        <w:pStyle w:val="DPCbody"/>
        <w:spacing w:after="0"/>
      </w:pPr>
      <w:r w:rsidRPr="00BA224E">
        <w:t>GPO Box 2392</w:t>
      </w:r>
    </w:p>
    <w:p w:rsidR="00BA224E" w:rsidRPr="00BA224E" w:rsidRDefault="00BA224E" w:rsidP="00BA224E">
      <w:pPr>
        <w:pStyle w:val="DPCbody"/>
        <w:spacing w:after="0"/>
      </w:pPr>
      <w:r w:rsidRPr="00BA224E">
        <w:t>Melbourne VICTORIA 3001</w:t>
      </w:r>
    </w:p>
    <w:p w:rsidR="00BA224E" w:rsidRPr="00BA224E" w:rsidRDefault="00BA224E" w:rsidP="00BA224E">
      <w:pPr>
        <w:pStyle w:val="DPCbody"/>
      </w:pPr>
    </w:p>
    <w:p w:rsidR="00BA224E" w:rsidRPr="00077BA9" w:rsidRDefault="00BA224E" w:rsidP="00BA224E">
      <w:pPr>
        <w:pStyle w:val="DPCbody"/>
        <w:rPr>
          <w:i/>
          <w:color w:val="7F7F7F" w:themeColor="text1" w:themeTint="80"/>
        </w:rPr>
      </w:pPr>
      <w:r w:rsidRPr="00077BA9">
        <w:rPr>
          <w:i/>
          <w:color w:val="7F7F7F" w:themeColor="text1" w:themeTint="80"/>
        </w:rPr>
        <w:t>These documents are for information purposes only. The documents do not constitute legal advice and should not be relied upon as legal advice. Should you have any concerns or queries regarding the application of the material to your individual circumstances, you should seek your own independent legal advice.</w:t>
      </w:r>
    </w:p>
    <w:p w:rsidR="004878E1" w:rsidRPr="00BA224E" w:rsidRDefault="00BA224E" w:rsidP="00BA224E">
      <w:pPr>
        <w:pStyle w:val="DPCbody"/>
        <w:rPr>
          <w:color w:val="7F7F7F" w:themeColor="text1" w:themeTint="80"/>
        </w:rPr>
        <w:sectPr w:rsidR="004878E1" w:rsidRPr="00BA224E" w:rsidSect="00AD1740">
          <w:footerReference w:type="default" r:id="rId13"/>
          <w:headerReference w:type="first" r:id="rId14"/>
          <w:footerReference w:type="first" r:id="rId15"/>
          <w:type w:val="continuous"/>
          <w:pgSz w:w="11906" w:h="16838"/>
          <w:pgMar w:top="748" w:right="1440" w:bottom="1474" w:left="1440" w:header="1361" w:footer="567" w:gutter="0"/>
          <w:cols w:space="708"/>
          <w:docGrid w:linePitch="360"/>
        </w:sectPr>
      </w:pPr>
      <w:r w:rsidRPr="00077BA9">
        <w:rPr>
          <w:i/>
          <w:color w:val="7F7F7F" w:themeColor="text1" w:themeTint="80"/>
        </w:rPr>
        <w:t xml:space="preserve">The State of Victoria, as represented by the Department of Premier and Cabinet and its employees, endeavours to keep information accurate and up to date, however, does not </w:t>
      </w:r>
      <w:r w:rsidRPr="00077BA9">
        <w:rPr>
          <w:i/>
          <w:color w:val="7F7F7F" w:themeColor="text1" w:themeTint="80"/>
        </w:rPr>
        <w:lastRenderedPageBreak/>
        <w:t>guarantee the accuracy, reliability or currency of the material and disclaims all liability for any loss or damage caused directly or indirectly from or in connection with the use of or reliance upon the information contained within these documents.</w:t>
      </w:r>
    </w:p>
    <w:p w:rsidR="004878E1" w:rsidRPr="00BA224E" w:rsidRDefault="004878E1" w:rsidP="00D76013">
      <w:pPr>
        <w:pStyle w:val="DPCbody"/>
        <w:spacing w:after="240"/>
        <w:rPr>
          <w:i/>
          <w:color w:val="7F7F7F" w:themeColor="text1" w:themeTint="80"/>
        </w:rPr>
      </w:pPr>
    </w:p>
    <w:sectPr w:rsidR="004878E1" w:rsidRPr="00BA224E" w:rsidSect="001B5CC1">
      <w:headerReference w:type="default" r:id="rId16"/>
      <w:footerReference w:type="default" r:id="rId17"/>
      <w:type w:val="continuous"/>
      <w:pgSz w:w="11906" w:h="16838" w:code="9"/>
      <w:pgMar w:top="1701" w:right="851" w:bottom="1134" w:left="1134"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0B9" w:rsidRDefault="004E10B9">
      <w:r>
        <w:separator/>
      </w:r>
    </w:p>
  </w:endnote>
  <w:endnote w:type="continuationSeparator" w:id="0">
    <w:p w:rsidR="004E10B9" w:rsidRDefault="004E1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750D" w:rsidRDefault="00336814">
    <w:pPr>
      <w:pStyle w:val="Footer"/>
    </w:pPr>
    <w:r>
      <w:rPr>
        <w:noProof/>
        <w:lang w:eastAsia="en-AU"/>
      </w:rPr>
      <w:drawing>
        <wp:anchor distT="0" distB="0" distL="114300" distR="114300" simplePos="0" relativeHeight="251658240" behindDoc="0" locked="1" layoutInCell="0" allowOverlap="1" wp14:anchorId="47DA4A8D" wp14:editId="74D0DFBD">
          <wp:simplePos x="0" y="0"/>
          <wp:positionH relativeFrom="page">
            <wp:posOffset>635</wp:posOffset>
          </wp:positionH>
          <wp:positionV relativeFrom="page">
            <wp:posOffset>9939655</wp:posOffset>
          </wp:positionV>
          <wp:extent cx="7559640" cy="502918"/>
          <wp:effectExtent l="0" t="0" r="0" b="0"/>
          <wp:wrapNone/>
          <wp:docPr id="3" name="Picture 3"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640" cy="50291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547682"/>
      <w:docPartObj>
        <w:docPartGallery w:val="Page Numbers (Bottom of Page)"/>
        <w:docPartUnique/>
      </w:docPartObj>
    </w:sdtPr>
    <w:sdtEndPr/>
    <w:sdtContent>
      <w:sdt>
        <w:sdtPr>
          <w:id w:val="1967229501"/>
          <w:docPartObj>
            <w:docPartGallery w:val="Page Numbers (Top of Page)"/>
            <w:docPartUnique/>
          </w:docPartObj>
        </w:sdtPr>
        <w:sdtEndPr/>
        <w:sdtContent>
          <w:p w:rsidR="004878E1" w:rsidRDefault="007F3B6D" w:rsidP="00C13DF9">
            <w:pPr>
              <w:pStyle w:val="Footer"/>
              <w:tabs>
                <w:tab w:val="right" w:pos="9072"/>
              </w:tabs>
              <w:jc w:val="center"/>
            </w:pPr>
            <w:r>
              <w:rPr>
                <w:noProof/>
                <w:lang w:eastAsia="en-AU"/>
              </w:rPr>
              <w:drawing>
                <wp:anchor distT="0" distB="0" distL="114300" distR="114300" simplePos="0" relativeHeight="251660288" behindDoc="1" locked="0" layoutInCell="0" allowOverlap="1" wp14:anchorId="2BE20F34" wp14:editId="1A6E19E8">
                  <wp:simplePos x="0" y="0"/>
                  <wp:positionH relativeFrom="page">
                    <wp:posOffset>-19050</wp:posOffset>
                  </wp:positionH>
                  <wp:positionV relativeFrom="page">
                    <wp:posOffset>9953625</wp:posOffset>
                  </wp:positionV>
                  <wp:extent cx="7559040" cy="502285"/>
                  <wp:effectExtent l="0" t="0" r="3810" b="0"/>
                  <wp:wrapNone/>
                  <wp:docPr id="2" name="Picture 2" descr="Victoria State Governmnet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extLst>
                              <a:ext uri="{28A0092B-C50C-407E-A947-70E740481C1C}">
                                <a14:useLocalDpi xmlns:a14="http://schemas.microsoft.com/office/drawing/2010/main" val="0"/>
                              </a:ext>
                            </a:extLst>
                          </a:blip>
                          <a:stretch>
                            <a:fillRect/>
                          </a:stretch>
                        </pic:blipFill>
                        <pic:spPr>
                          <a:xfrm>
                            <a:off x="0" y="0"/>
                            <a:ext cx="7559040" cy="502285"/>
                          </a:xfrm>
                          <a:prstGeom prst="rect">
                            <a:avLst/>
                          </a:prstGeom>
                        </pic:spPr>
                      </pic:pic>
                    </a:graphicData>
                  </a:graphic>
                  <wp14:sizeRelH relativeFrom="margin">
                    <wp14:pctWidth>0</wp14:pctWidth>
                  </wp14:sizeRelH>
                  <wp14:sizeRelV relativeFrom="margin">
                    <wp14:pctHeight>0</wp14:pctHeight>
                  </wp14:sizeRelV>
                </wp:anchor>
              </w:drawing>
            </w:r>
            <w:r w:rsidR="004878E1">
              <w:t>Long Service Leave Act 2018 - Fact Sheet</w:t>
            </w:r>
            <w:r>
              <w:t xml:space="preserve"> </w:t>
            </w:r>
            <w:r w:rsidR="00AD1740">
              <w:t xml:space="preserve">No. </w:t>
            </w:r>
            <w:r w:rsidR="00282D0A">
              <w:t>4</w:t>
            </w:r>
            <w:r w:rsidR="004878E1">
              <w:tab/>
            </w:r>
          </w:p>
          <w:p w:rsidR="004878E1" w:rsidRPr="00F62A4A" w:rsidRDefault="004878E1" w:rsidP="00C13DF9">
            <w:pPr>
              <w:pStyle w:val="Footer"/>
              <w:tabs>
                <w:tab w:val="right" w:pos="9072"/>
              </w:tabs>
              <w:jc w:val="center"/>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ab/>
            </w:r>
            <w:r>
              <w:rPr>
                <w:b/>
                <w:bCs/>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8E1" w:rsidRDefault="004878E1" w:rsidP="00745D4D">
    <w:pPr>
      <w:pStyle w:val="Footer"/>
      <w:jc w:val="right"/>
    </w:pPr>
    <w:r>
      <w:rPr>
        <w:noProof/>
        <w:lang w:val="en-GB" w:eastAsia="en-GB"/>
      </w:rPr>
      <w:drawing>
        <wp:anchor distT="0" distB="0" distL="114300" distR="114300" simplePos="0" relativeHeight="251654144" behindDoc="1" locked="1" layoutInCell="0" allowOverlap="1" wp14:anchorId="4E793C37" wp14:editId="1C07FAAD">
          <wp:simplePos x="0" y="0"/>
          <wp:positionH relativeFrom="page">
            <wp:align>center</wp:align>
          </wp:positionH>
          <wp:positionV relativeFrom="page">
            <wp:align>bottom</wp:align>
          </wp:positionV>
          <wp:extent cx="7560000" cy="7200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DJTR Factsheets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72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303" w:rsidRPr="00A95E3B" w:rsidRDefault="00D76013" w:rsidP="00D76013">
    <w:pPr>
      <w:pStyle w:val="DPCfooter"/>
    </w:pPr>
    <w:r>
      <w:t>Fact Sheet No. 3: Long Service Leave and Termination of Employment</w:t>
    </w:r>
    <w:r w:rsidR="006768DF" w:rsidRPr="00A95E3B">
      <w:tab/>
    </w:r>
    <w:r w:rsidR="00EF362A" w:rsidRPr="00A95E3B">
      <w:fldChar w:fldCharType="begin"/>
    </w:r>
    <w:r w:rsidR="00EF362A" w:rsidRPr="00A95E3B">
      <w:instrText xml:space="preserve"> PAGE   \* MERGEFORMAT </w:instrText>
    </w:r>
    <w:r w:rsidR="00EF362A" w:rsidRPr="00A95E3B">
      <w:fldChar w:fldCharType="separate"/>
    </w:r>
    <w:r w:rsidR="00F9697E">
      <w:rPr>
        <w:noProof/>
      </w:rPr>
      <w:t>2</w:t>
    </w:r>
    <w:r w:rsidR="00EF362A" w:rsidRPr="00A95E3B">
      <w:fldChar w:fldCharType="end"/>
    </w:r>
    <w: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0B9" w:rsidRDefault="004E10B9" w:rsidP="002862F1">
      <w:pPr>
        <w:spacing w:before="120"/>
      </w:pPr>
      <w:r>
        <w:separator/>
      </w:r>
    </w:p>
  </w:footnote>
  <w:footnote w:type="continuationSeparator" w:id="0">
    <w:p w:rsidR="004E10B9" w:rsidRDefault="004E1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013" w:rsidRDefault="007F3B6D">
    <w:pPr>
      <w:pStyle w:val="Header"/>
    </w:pPr>
    <w:r w:rsidRPr="00116F6F">
      <w:rPr>
        <w:b/>
        <w:noProof/>
      </w:rPr>
      <w:drawing>
        <wp:anchor distT="0" distB="0" distL="114300" distR="114300" simplePos="0" relativeHeight="251659264" behindDoc="0" locked="0" layoutInCell="0" allowOverlap="1" wp14:anchorId="3E077759" wp14:editId="3F7A572A">
          <wp:simplePos x="0" y="0"/>
          <wp:positionH relativeFrom="page">
            <wp:posOffset>0</wp:posOffset>
          </wp:positionH>
          <wp:positionV relativeFrom="page">
            <wp:posOffset>340360</wp:posOffset>
          </wp:positionV>
          <wp:extent cx="7748270" cy="510540"/>
          <wp:effectExtent l="0" t="0" r="5080" b="3810"/>
          <wp:wrapNone/>
          <wp:docPr id="6" name="Picture 6"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extLst>
                      <a:ext uri="{28A0092B-C50C-407E-A947-70E740481C1C}">
                        <a14:useLocalDpi xmlns:a14="http://schemas.microsoft.com/office/drawing/2010/main" val="0"/>
                      </a:ext>
                    </a:extLst>
                  </a:blip>
                  <a:stretch>
                    <a:fillRect/>
                  </a:stretch>
                </pic:blipFill>
                <pic:spPr>
                  <a:xfrm>
                    <a:off x="0" y="0"/>
                    <a:ext cx="7748270" cy="5105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8E1" w:rsidRDefault="004878E1" w:rsidP="001F6527">
    <w:pPr>
      <w:pStyle w:val="infosheettitle"/>
    </w:pPr>
    <w:r>
      <w:rPr>
        <w:noProof/>
        <w:lang w:val="en-GB" w:eastAsia="en-GB"/>
      </w:rPr>
      <mc:AlternateContent>
        <mc:Choice Requires="wps">
          <w:drawing>
            <wp:anchor distT="0" distB="0" distL="114300" distR="114300" simplePos="0" relativeHeight="251663360" behindDoc="0" locked="0" layoutInCell="1" allowOverlap="1" wp14:anchorId="7EBC66F7" wp14:editId="1CC705B9">
              <wp:simplePos x="0" y="0"/>
              <wp:positionH relativeFrom="column">
                <wp:posOffset>-622570</wp:posOffset>
              </wp:positionH>
              <wp:positionV relativeFrom="paragraph">
                <wp:posOffset>-572405</wp:posOffset>
              </wp:positionV>
              <wp:extent cx="4727642" cy="2334638"/>
              <wp:effectExtent l="0" t="0" r="22225" b="2540"/>
              <wp:wrapNone/>
              <wp:docPr id="7" name="Text Box 7"/>
              <wp:cNvGraphicFramePr/>
              <a:graphic xmlns:a="http://schemas.openxmlformats.org/drawingml/2006/main">
                <a:graphicData uri="http://schemas.microsoft.com/office/word/2010/wordprocessingShape">
                  <wps:wsp>
                    <wps:cNvSpPr txBox="1"/>
                    <wps:spPr>
                      <a:xfrm>
                        <a:off x="0" y="0"/>
                        <a:ext cx="4727642" cy="2334638"/>
                      </a:xfrm>
                      <a:prstGeom prst="rect">
                        <a:avLst/>
                      </a:prstGeom>
                      <a:noFill/>
                      <a:ln>
                        <a:noFill/>
                      </a:ln>
                      <a:effectLst/>
                    </wps:spPr>
                    <wps:txbx>
                      <w:txbxContent>
                        <w:p w:rsidR="004878E1" w:rsidRPr="009D0BFD" w:rsidRDefault="004878E1" w:rsidP="00A64BA9">
                          <w:pPr>
                            <w:pStyle w:val="Title"/>
                            <w:ind w:right="141"/>
                          </w:pPr>
                          <w:r>
                            <w:t>The Victorian Long Service Leave Act 2018</w:t>
                          </w:r>
                        </w:p>
                        <w:p w:rsidR="004878E1" w:rsidRDefault="004878E1" w:rsidP="00A64BA9">
                          <w:pPr>
                            <w:pStyle w:val="Subtitle"/>
                            <w:ind w:right="141"/>
                          </w:pPr>
                          <w:r>
                            <w:t>Questions and Answers</w:t>
                          </w:r>
                        </w:p>
                      </w:txbxContent>
                    </wps:txbx>
                    <wps:bodyPr rot="0" spcFirstLastPara="0" vertOverflow="overflow" horzOverflow="overflow" vert="horz" wrap="square" lIns="61200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BC66F7" id="_x0000_t202" coordsize="21600,21600" o:spt="202" path="m,l,21600r21600,l21600,xe">
              <v:stroke joinstyle="miter"/>
              <v:path gradientshapeok="t" o:connecttype="rect"/>
            </v:shapetype>
            <v:shape id="Text Box 7" o:spid="_x0000_s1026" type="#_x0000_t202" style="position:absolute;margin-left:-49pt;margin-top:-45.05pt;width:372.25pt;height:18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" filled="f" stroked="f">
              <v:textbox inset="17mm,0,0,0">
                <w:txbxContent>
                  <w:p w:rsidR="004878E1" w:rsidRPr="009D0BFD" w:rsidRDefault="004878E1" w:rsidP="00A64BA9">
                    <w:pPr>
                      <w:pStyle w:val="Title"/>
                      <w:ind w:right="141"/>
                    </w:pPr>
                    <w:r>
                      <w:t>The Victorian Long Service Leave Act 2018</w:t>
                    </w:r>
                  </w:p>
                  <w:p w:rsidR="004878E1" w:rsidRDefault="004878E1" w:rsidP="00A64BA9">
                    <w:pPr>
                      <w:pStyle w:val="Subtitle"/>
                      <w:ind w:right="141"/>
                    </w:pPr>
                    <w:r>
                      <w:t>Questions and Answers</w:t>
                    </w:r>
                  </w:p>
                </w:txbxContent>
              </v:textbox>
            </v:shape>
          </w:pict>
        </mc:Fallback>
      </mc:AlternateContent>
    </w:r>
  </w:p>
  <w:p w:rsidR="004878E1" w:rsidRDefault="004878E1" w:rsidP="00A64BA9">
    <w:pPr>
      <w:pStyle w:val="infosheettitle"/>
    </w:pPr>
    <w:r>
      <w:rPr>
        <w:noProof/>
        <w:lang w:val="en-GB" w:eastAsia="en-GB"/>
      </w:rPr>
      <w:drawing>
        <wp:anchor distT="0" distB="0" distL="114300" distR="114300" simplePos="0" relativeHeight="251657216" behindDoc="1" locked="1" layoutInCell="0" allowOverlap="1" wp14:anchorId="1A334494" wp14:editId="3BDAA859">
          <wp:simplePos x="0" y="0"/>
          <wp:positionH relativeFrom="page">
            <wp:align>center</wp:align>
          </wp:positionH>
          <wp:positionV relativeFrom="page">
            <wp:align>top</wp:align>
          </wp:positionV>
          <wp:extent cx="7560000" cy="269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EDJTR Factsheets blue bann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692800"/>
                  </a:xfrm>
                  <a:prstGeom prst="rect">
                    <a:avLst/>
                  </a:prstGeom>
                </pic:spPr>
              </pic:pic>
            </a:graphicData>
          </a:graphic>
          <wp14:sizeRelH relativeFrom="margin">
            <wp14:pctWidth>0</wp14:pctWidth>
          </wp14:sizeRelH>
          <wp14:sizeRelV relativeFrom="margin">
            <wp14:pctHeight>0</wp14:pctHeight>
          </wp14:sizeRelV>
        </wp:anchor>
      </w:drawing>
    </w:r>
  </w:p>
  <w:p w:rsidR="004878E1" w:rsidRDefault="004878E1" w:rsidP="001F6527">
    <w:pPr>
      <w:pStyle w:val="infosheetsubtit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303" w:rsidRDefault="00657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93763"/>
    <w:multiLevelType w:val="multilevel"/>
    <w:tmpl w:val="C402F588"/>
    <w:styleLink w:val="ZZTablebullets"/>
    <w:lvl w:ilvl="0">
      <w:start w:val="1"/>
      <w:numFmt w:val="bullet"/>
      <w:pStyle w:val="DP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BAD2E30"/>
    <w:multiLevelType w:val="multilevel"/>
    <w:tmpl w:val="970653B8"/>
    <w:styleLink w:val="ZZNumbersloweralpha"/>
    <w:lvl w:ilvl="0">
      <w:start w:val="1"/>
      <w:numFmt w:val="lowerLetter"/>
      <w:pStyle w:val="DPCnumberloweralpha"/>
      <w:lvlText w:val="(%1)"/>
      <w:lvlJc w:val="left"/>
      <w:pPr>
        <w:tabs>
          <w:tab w:val="num" w:pos="397"/>
        </w:tabs>
        <w:ind w:left="397" w:hanging="397"/>
      </w:pPr>
      <w:rPr>
        <w:rFonts w:hint="default"/>
      </w:rPr>
    </w:lvl>
    <w:lvl w:ilvl="1">
      <w:start w:val="1"/>
      <w:numFmt w:val="lowerLetter"/>
      <w:pStyle w:val="DP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776E18"/>
    <w:multiLevelType w:val="multilevel"/>
    <w:tmpl w:val="0EA88B0C"/>
    <w:styleLink w:val="ZZQuotebullets"/>
    <w:lvl w:ilvl="0">
      <w:start w:val="1"/>
      <w:numFmt w:val="bullet"/>
      <w:pStyle w:val="DP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C2478D2"/>
    <w:multiLevelType w:val="multilevel"/>
    <w:tmpl w:val="6B4EFD40"/>
    <w:styleLink w:val="ZZBullets"/>
    <w:lvl w:ilvl="0">
      <w:start w:val="1"/>
      <w:numFmt w:val="bullet"/>
      <w:pStyle w:val="DPCbullet1"/>
      <w:lvlText w:val="▪"/>
      <w:lvlJc w:val="left"/>
      <w:pPr>
        <w:ind w:left="284" w:hanging="284"/>
      </w:pPr>
      <w:rPr>
        <w:rFonts w:hint="default"/>
        <w:sz w:val="24"/>
      </w:rPr>
    </w:lvl>
    <w:lvl w:ilvl="1">
      <w:start w:val="1"/>
      <w:numFmt w:val="bullet"/>
      <w:lvlRestart w:val="0"/>
      <w:pStyle w:val="DP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91E39DB"/>
    <w:multiLevelType w:val="hybridMultilevel"/>
    <w:tmpl w:val="72F21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0F4552"/>
    <w:multiLevelType w:val="multilevel"/>
    <w:tmpl w:val="F1781AEE"/>
    <w:styleLink w:val="ZZNumberslowerroman"/>
    <w:lvl w:ilvl="0">
      <w:start w:val="1"/>
      <w:numFmt w:val="lowerRoman"/>
      <w:pStyle w:val="DPCnumberlowerroman"/>
      <w:lvlText w:val="(%1)"/>
      <w:lvlJc w:val="left"/>
      <w:pPr>
        <w:tabs>
          <w:tab w:val="num" w:pos="397"/>
        </w:tabs>
        <w:ind w:left="397" w:hanging="397"/>
      </w:pPr>
      <w:rPr>
        <w:rFonts w:hint="default"/>
      </w:rPr>
    </w:lvl>
    <w:lvl w:ilvl="1">
      <w:start w:val="1"/>
      <w:numFmt w:val="lowerRoman"/>
      <w:pStyle w:val="DP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3BE0EB6"/>
    <w:multiLevelType w:val="hybridMultilevel"/>
    <w:tmpl w:val="4C20CBC8"/>
    <w:lvl w:ilvl="0" w:tplc="B1E89CBC">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9423DA"/>
    <w:multiLevelType w:val="multilevel"/>
    <w:tmpl w:val="DB6EA95A"/>
    <w:styleLink w:val="ZZNumbersdigit"/>
    <w:lvl w:ilvl="0">
      <w:start w:val="1"/>
      <w:numFmt w:val="decimal"/>
      <w:pStyle w:val="DPCnumberdigit"/>
      <w:lvlText w:val="%1."/>
      <w:lvlJc w:val="left"/>
      <w:pPr>
        <w:tabs>
          <w:tab w:val="num" w:pos="397"/>
        </w:tabs>
        <w:ind w:left="397" w:hanging="397"/>
      </w:pPr>
      <w:rPr>
        <w:rFonts w:hint="default"/>
      </w:rPr>
    </w:lvl>
    <w:lvl w:ilvl="1">
      <w:start w:val="1"/>
      <w:numFmt w:val="decimal"/>
      <w:pStyle w:val="DPCnumberdigitindent"/>
      <w:lvlText w:val="%2."/>
      <w:lvlJc w:val="left"/>
      <w:pPr>
        <w:tabs>
          <w:tab w:val="num" w:pos="794"/>
        </w:tabs>
        <w:ind w:left="794" w:hanging="397"/>
      </w:pPr>
      <w:rPr>
        <w:rFonts w:hint="default"/>
      </w:rPr>
    </w:lvl>
    <w:lvl w:ilvl="2">
      <w:start w:val="1"/>
      <w:numFmt w:val="bullet"/>
      <w:lvlRestart w:val="0"/>
      <w:pStyle w:val="DPCbulletafternumbers1"/>
      <w:lvlText w:val="▪"/>
      <w:lvlJc w:val="left"/>
      <w:pPr>
        <w:ind w:left="794" w:hanging="397"/>
      </w:pPr>
      <w:rPr>
        <w:rFonts w:hint="default"/>
      </w:rPr>
    </w:lvl>
    <w:lvl w:ilvl="3">
      <w:start w:val="1"/>
      <w:numFmt w:val="bullet"/>
      <w:lvlRestart w:val="0"/>
      <w:pStyle w:val="DP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0"/>
  </w:num>
  <w:num w:numId="10">
    <w:abstractNumId w:val="1"/>
  </w:num>
  <w:num w:numId="11">
    <w:abstractNumId w:val="8"/>
  </w:num>
  <w:num w:numId="12">
    <w:abstractNumId w:val="2"/>
  </w:num>
  <w:num w:numId="13">
    <w:abstractNumId w:val="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E10B9"/>
    <w:rsid w:val="000072B6"/>
    <w:rsid w:val="0001021B"/>
    <w:rsid w:val="00011D89"/>
    <w:rsid w:val="000137AB"/>
    <w:rsid w:val="00024D89"/>
    <w:rsid w:val="0002578B"/>
    <w:rsid w:val="00025E00"/>
    <w:rsid w:val="00033D81"/>
    <w:rsid w:val="00037D82"/>
    <w:rsid w:val="00041BF0"/>
    <w:rsid w:val="0004536B"/>
    <w:rsid w:val="00046B68"/>
    <w:rsid w:val="000527DD"/>
    <w:rsid w:val="000578B2"/>
    <w:rsid w:val="00060959"/>
    <w:rsid w:val="00074219"/>
    <w:rsid w:val="00074ED5"/>
    <w:rsid w:val="00077BA9"/>
    <w:rsid w:val="000815CF"/>
    <w:rsid w:val="00084BDE"/>
    <w:rsid w:val="00090171"/>
    <w:rsid w:val="0009080D"/>
    <w:rsid w:val="00096CD1"/>
    <w:rsid w:val="000A012C"/>
    <w:rsid w:val="000A0EB9"/>
    <w:rsid w:val="000A186C"/>
    <w:rsid w:val="000B21ED"/>
    <w:rsid w:val="000B3B7B"/>
    <w:rsid w:val="000B543D"/>
    <w:rsid w:val="000B5BF7"/>
    <w:rsid w:val="000B6BC8"/>
    <w:rsid w:val="000C42EA"/>
    <w:rsid w:val="000C4546"/>
    <w:rsid w:val="000C4E3A"/>
    <w:rsid w:val="000D1242"/>
    <w:rsid w:val="000D7DEE"/>
    <w:rsid w:val="000E3CC7"/>
    <w:rsid w:val="000E6BD4"/>
    <w:rsid w:val="000E6F6A"/>
    <w:rsid w:val="000F1F1E"/>
    <w:rsid w:val="000F2259"/>
    <w:rsid w:val="0010342F"/>
    <w:rsid w:val="0010392D"/>
    <w:rsid w:val="00103E86"/>
    <w:rsid w:val="00104FE3"/>
    <w:rsid w:val="00116F6F"/>
    <w:rsid w:val="00120BD3"/>
    <w:rsid w:val="00122FEA"/>
    <w:rsid w:val="001232BD"/>
    <w:rsid w:val="00124ED5"/>
    <w:rsid w:val="001447B3"/>
    <w:rsid w:val="00161939"/>
    <w:rsid w:val="00161AA0"/>
    <w:rsid w:val="00162093"/>
    <w:rsid w:val="00164CF0"/>
    <w:rsid w:val="001771DD"/>
    <w:rsid w:val="00177995"/>
    <w:rsid w:val="00177A8C"/>
    <w:rsid w:val="001828F5"/>
    <w:rsid w:val="00186B33"/>
    <w:rsid w:val="00192F9D"/>
    <w:rsid w:val="00196EB8"/>
    <w:rsid w:val="001979FF"/>
    <w:rsid w:val="00197B17"/>
    <w:rsid w:val="001A3ACE"/>
    <w:rsid w:val="001B5CC1"/>
    <w:rsid w:val="001C1999"/>
    <w:rsid w:val="001C2A72"/>
    <w:rsid w:val="001D0B75"/>
    <w:rsid w:val="001D24DF"/>
    <w:rsid w:val="001D3C09"/>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C03"/>
    <w:rsid w:val="00220C04"/>
    <w:rsid w:val="002333F5"/>
    <w:rsid w:val="00235D6F"/>
    <w:rsid w:val="00237C67"/>
    <w:rsid w:val="00246C5E"/>
    <w:rsid w:val="00251343"/>
    <w:rsid w:val="00253641"/>
    <w:rsid w:val="00254F7A"/>
    <w:rsid w:val="002620BC"/>
    <w:rsid w:val="00263A90"/>
    <w:rsid w:val="0026408B"/>
    <w:rsid w:val="00267C3E"/>
    <w:rsid w:val="002709BB"/>
    <w:rsid w:val="002802E3"/>
    <w:rsid w:val="0028213D"/>
    <w:rsid w:val="00282D0A"/>
    <w:rsid w:val="002862F1"/>
    <w:rsid w:val="00290F7E"/>
    <w:rsid w:val="00291373"/>
    <w:rsid w:val="0029597D"/>
    <w:rsid w:val="002962C3"/>
    <w:rsid w:val="002A483C"/>
    <w:rsid w:val="002B1729"/>
    <w:rsid w:val="002B4DD4"/>
    <w:rsid w:val="002B5277"/>
    <w:rsid w:val="002B77C1"/>
    <w:rsid w:val="002C2728"/>
    <w:rsid w:val="002E01D0"/>
    <w:rsid w:val="002E161D"/>
    <w:rsid w:val="002E6C95"/>
    <w:rsid w:val="002E7C36"/>
    <w:rsid w:val="002F32D0"/>
    <w:rsid w:val="002F5F31"/>
    <w:rsid w:val="00302216"/>
    <w:rsid w:val="00303E53"/>
    <w:rsid w:val="00306E5F"/>
    <w:rsid w:val="00307E14"/>
    <w:rsid w:val="00314054"/>
    <w:rsid w:val="0031510A"/>
    <w:rsid w:val="00316F27"/>
    <w:rsid w:val="00326A66"/>
    <w:rsid w:val="00327870"/>
    <w:rsid w:val="0033259D"/>
    <w:rsid w:val="00336814"/>
    <w:rsid w:val="003406C6"/>
    <w:rsid w:val="003418CC"/>
    <w:rsid w:val="003452D9"/>
    <w:rsid w:val="003459BD"/>
    <w:rsid w:val="00350D38"/>
    <w:rsid w:val="003744CF"/>
    <w:rsid w:val="00374717"/>
    <w:rsid w:val="0037676C"/>
    <w:rsid w:val="00381450"/>
    <w:rsid w:val="003829E5"/>
    <w:rsid w:val="00382DEA"/>
    <w:rsid w:val="0039185F"/>
    <w:rsid w:val="003956CC"/>
    <w:rsid w:val="00395C9A"/>
    <w:rsid w:val="003A6B67"/>
    <w:rsid w:val="003B15E6"/>
    <w:rsid w:val="003B6ECA"/>
    <w:rsid w:val="003C2045"/>
    <w:rsid w:val="003C2E6A"/>
    <w:rsid w:val="003C43A1"/>
    <w:rsid w:val="003C55F4"/>
    <w:rsid w:val="003C7A3F"/>
    <w:rsid w:val="003D3E8F"/>
    <w:rsid w:val="003D6475"/>
    <w:rsid w:val="003E375C"/>
    <w:rsid w:val="003E6FA6"/>
    <w:rsid w:val="003F0445"/>
    <w:rsid w:val="003F0CF0"/>
    <w:rsid w:val="003F3289"/>
    <w:rsid w:val="00401FCF"/>
    <w:rsid w:val="004148F9"/>
    <w:rsid w:val="0042084E"/>
    <w:rsid w:val="00424D65"/>
    <w:rsid w:val="00435D7D"/>
    <w:rsid w:val="00436F62"/>
    <w:rsid w:val="00442C6C"/>
    <w:rsid w:val="00443CBE"/>
    <w:rsid w:val="004441BC"/>
    <w:rsid w:val="004450DF"/>
    <w:rsid w:val="00451575"/>
    <w:rsid w:val="0045230A"/>
    <w:rsid w:val="00457337"/>
    <w:rsid w:val="0046021C"/>
    <w:rsid w:val="0047156E"/>
    <w:rsid w:val="0047372D"/>
    <w:rsid w:val="004743DD"/>
    <w:rsid w:val="00474CEA"/>
    <w:rsid w:val="00483968"/>
    <w:rsid w:val="00484F86"/>
    <w:rsid w:val="004878E1"/>
    <w:rsid w:val="00490746"/>
    <w:rsid w:val="00490852"/>
    <w:rsid w:val="004909D3"/>
    <w:rsid w:val="004946F4"/>
    <w:rsid w:val="0049487E"/>
    <w:rsid w:val="004A3E81"/>
    <w:rsid w:val="004A5C62"/>
    <w:rsid w:val="004A707D"/>
    <w:rsid w:val="004C6EEE"/>
    <w:rsid w:val="004C702B"/>
    <w:rsid w:val="004D016B"/>
    <w:rsid w:val="004D1B22"/>
    <w:rsid w:val="004D36F2"/>
    <w:rsid w:val="004E10B9"/>
    <w:rsid w:val="004E4649"/>
    <w:rsid w:val="004E5C2B"/>
    <w:rsid w:val="004F00DD"/>
    <w:rsid w:val="004F2133"/>
    <w:rsid w:val="004F55F1"/>
    <w:rsid w:val="004F6936"/>
    <w:rsid w:val="00503DC6"/>
    <w:rsid w:val="005061AB"/>
    <w:rsid w:val="00506F5D"/>
    <w:rsid w:val="005126D0"/>
    <w:rsid w:val="00520AB8"/>
    <w:rsid w:val="00526865"/>
    <w:rsid w:val="00536499"/>
    <w:rsid w:val="00543903"/>
    <w:rsid w:val="00546E29"/>
    <w:rsid w:val="00547A95"/>
    <w:rsid w:val="005514C5"/>
    <w:rsid w:val="00555B7E"/>
    <w:rsid w:val="00572031"/>
    <w:rsid w:val="005722FE"/>
    <w:rsid w:val="00576E84"/>
    <w:rsid w:val="00581CF6"/>
    <w:rsid w:val="0058757E"/>
    <w:rsid w:val="00596A4B"/>
    <w:rsid w:val="00597507"/>
    <w:rsid w:val="005A7647"/>
    <w:rsid w:val="005B21B6"/>
    <w:rsid w:val="005B7A63"/>
    <w:rsid w:val="005C42BA"/>
    <w:rsid w:val="005C49DA"/>
    <w:rsid w:val="005C50F3"/>
    <w:rsid w:val="005C5D91"/>
    <w:rsid w:val="005D07B8"/>
    <w:rsid w:val="005D6597"/>
    <w:rsid w:val="005E14E7"/>
    <w:rsid w:val="005E4097"/>
    <w:rsid w:val="005E447E"/>
    <w:rsid w:val="005F0775"/>
    <w:rsid w:val="005F0CF5"/>
    <w:rsid w:val="005F21EB"/>
    <w:rsid w:val="00605908"/>
    <w:rsid w:val="00610D7C"/>
    <w:rsid w:val="00613414"/>
    <w:rsid w:val="0062408D"/>
    <w:rsid w:val="00627DA7"/>
    <w:rsid w:val="006358B4"/>
    <w:rsid w:val="006371A6"/>
    <w:rsid w:val="006419AA"/>
    <w:rsid w:val="00644B1D"/>
    <w:rsid w:val="00644B7E"/>
    <w:rsid w:val="00646A68"/>
    <w:rsid w:val="0065092E"/>
    <w:rsid w:val="006557A7"/>
    <w:rsid w:val="00656290"/>
    <w:rsid w:val="00657303"/>
    <w:rsid w:val="006621D7"/>
    <w:rsid w:val="0066302A"/>
    <w:rsid w:val="00670597"/>
    <w:rsid w:val="00673388"/>
    <w:rsid w:val="00673A34"/>
    <w:rsid w:val="006768DF"/>
    <w:rsid w:val="00677574"/>
    <w:rsid w:val="0068176B"/>
    <w:rsid w:val="0068454C"/>
    <w:rsid w:val="00691B62"/>
    <w:rsid w:val="006A18C2"/>
    <w:rsid w:val="006A2472"/>
    <w:rsid w:val="006B077C"/>
    <w:rsid w:val="006D2A3F"/>
    <w:rsid w:val="006E138B"/>
    <w:rsid w:val="006F1FDC"/>
    <w:rsid w:val="006F36B5"/>
    <w:rsid w:val="007013EF"/>
    <w:rsid w:val="007023E0"/>
    <w:rsid w:val="00702B10"/>
    <w:rsid w:val="007216AA"/>
    <w:rsid w:val="00721AB5"/>
    <w:rsid w:val="00721DEF"/>
    <w:rsid w:val="00722719"/>
    <w:rsid w:val="00724A43"/>
    <w:rsid w:val="007346E4"/>
    <w:rsid w:val="00735D59"/>
    <w:rsid w:val="00740F22"/>
    <w:rsid w:val="00741F1A"/>
    <w:rsid w:val="00741FE7"/>
    <w:rsid w:val="007450F8"/>
    <w:rsid w:val="0074696E"/>
    <w:rsid w:val="00750135"/>
    <w:rsid w:val="0075285D"/>
    <w:rsid w:val="00754E36"/>
    <w:rsid w:val="00763139"/>
    <w:rsid w:val="0076737C"/>
    <w:rsid w:val="00772D5E"/>
    <w:rsid w:val="00776928"/>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EA2"/>
    <w:rsid w:val="007D4D5A"/>
    <w:rsid w:val="007E0DE2"/>
    <w:rsid w:val="007E5373"/>
    <w:rsid w:val="007F31B6"/>
    <w:rsid w:val="007F3B6D"/>
    <w:rsid w:val="007F546C"/>
    <w:rsid w:val="007F665E"/>
    <w:rsid w:val="00800412"/>
    <w:rsid w:val="00801EEF"/>
    <w:rsid w:val="0080587B"/>
    <w:rsid w:val="00806468"/>
    <w:rsid w:val="00816735"/>
    <w:rsid w:val="00820141"/>
    <w:rsid w:val="00820E0C"/>
    <w:rsid w:val="008260DA"/>
    <w:rsid w:val="008516F2"/>
    <w:rsid w:val="00852EE6"/>
    <w:rsid w:val="00853EE4"/>
    <w:rsid w:val="00855535"/>
    <w:rsid w:val="00860662"/>
    <w:rsid w:val="008633F0"/>
    <w:rsid w:val="00867D9D"/>
    <w:rsid w:val="00872E0A"/>
    <w:rsid w:val="00875285"/>
    <w:rsid w:val="008770B0"/>
    <w:rsid w:val="00884B62"/>
    <w:rsid w:val="0088529C"/>
    <w:rsid w:val="00892553"/>
    <w:rsid w:val="0089270A"/>
    <w:rsid w:val="00893AF6"/>
    <w:rsid w:val="00894BC4"/>
    <w:rsid w:val="008A07A8"/>
    <w:rsid w:val="008A6BAC"/>
    <w:rsid w:val="008B2EE4"/>
    <w:rsid w:val="008B4D3D"/>
    <w:rsid w:val="008B57C7"/>
    <w:rsid w:val="008C2F92"/>
    <w:rsid w:val="008C748D"/>
    <w:rsid w:val="008D4236"/>
    <w:rsid w:val="008D462F"/>
    <w:rsid w:val="008E4376"/>
    <w:rsid w:val="008F765E"/>
    <w:rsid w:val="00900719"/>
    <w:rsid w:val="00906490"/>
    <w:rsid w:val="009111B2"/>
    <w:rsid w:val="00924AE1"/>
    <w:rsid w:val="009269B1"/>
    <w:rsid w:val="00937BD9"/>
    <w:rsid w:val="009500F3"/>
    <w:rsid w:val="00950E2C"/>
    <w:rsid w:val="00951D50"/>
    <w:rsid w:val="009525EB"/>
    <w:rsid w:val="00961400"/>
    <w:rsid w:val="00963646"/>
    <w:rsid w:val="0097122E"/>
    <w:rsid w:val="00973EC3"/>
    <w:rsid w:val="009817CA"/>
    <w:rsid w:val="009853E1"/>
    <w:rsid w:val="00986E6B"/>
    <w:rsid w:val="0099137C"/>
    <w:rsid w:val="00991769"/>
    <w:rsid w:val="00994386"/>
    <w:rsid w:val="00996541"/>
    <w:rsid w:val="009A279E"/>
    <w:rsid w:val="009B0A6F"/>
    <w:rsid w:val="009B4852"/>
    <w:rsid w:val="009B59E9"/>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7B1"/>
    <w:rsid w:val="00A22229"/>
    <w:rsid w:val="00A34DFE"/>
    <w:rsid w:val="00A44882"/>
    <w:rsid w:val="00A54715"/>
    <w:rsid w:val="00A6061C"/>
    <w:rsid w:val="00A62D44"/>
    <w:rsid w:val="00A65FEE"/>
    <w:rsid w:val="00A7161C"/>
    <w:rsid w:val="00A77AA3"/>
    <w:rsid w:val="00A872E5"/>
    <w:rsid w:val="00A95E3B"/>
    <w:rsid w:val="00A96067"/>
    <w:rsid w:val="00A96E65"/>
    <w:rsid w:val="00A97C72"/>
    <w:rsid w:val="00AA63D4"/>
    <w:rsid w:val="00AB06E8"/>
    <w:rsid w:val="00AB1CD3"/>
    <w:rsid w:val="00AB352F"/>
    <w:rsid w:val="00AB5739"/>
    <w:rsid w:val="00AC274B"/>
    <w:rsid w:val="00AC6D36"/>
    <w:rsid w:val="00AD0CBA"/>
    <w:rsid w:val="00AD1740"/>
    <w:rsid w:val="00AD26E2"/>
    <w:rsid w:val="00AD2ED9"/>
    <w:rsid w:val="00AD525E"/>
    <w:rsid w:val="00AD6D6E"/>
    <w:rsid w:val="00AE126A"/>
    <w:rsid w:val="00AE3005"/>
    <w:rsid w:val="00AE3B0A"/>
    <w:rsid w:val="00AE3BAA"/>
    <w:rsid w:val="00AE59A0"/>
    <w:rsid w:val="00AF0C57"/>
    <w:rsid w:val="00AF26F3"/>
    <w:rsid w:val="00B00672"/>
    <w:rsid w:val="00B01B4D"/>
    <w:rsid w:val="00B01E7E"/>
    <w:rsid w:val="00B04610"/>
    <w:rsid w:val="00B06571"/>
    <w:rsid w:val="00B068BA"/>
    <w:rsid w:val="00B13851"/>
    <w:rsid w:val="00B13B1C"/>
    <w:rsid w:val="00B22291"/>
    <w:rsid w:val="00B2417B"/>
    <w:rsid w:val="00B24E6F"/>
    <w:rsid w:val="00B26CB5"/>
    <w:rsid w:val="00B27256"/>
    <w:rsid w:val="00B2752E"/>
    <w:rsid w:val="00B307CC"/>
    <w:rsid w:val="00B30DA8"/>
    <w:rsid w:val="00B44A60"/>
    <w:rsid w:val="00B45141"/>
    <w:rsid w:val="00B5273A"/>
    <w:rsid w:val="00B573C5"/>
    <w:rsid w:val="00B62B50"/>
    <w:rsid w:val="00B635B7"/>
    <w:rsid w:val="00B65950"/>
    <w:rsid w:val="00B672C0"/>
    <w:rsid w:val="00B722EE"/>
    <w:rsid w:val="00B731E0"/>
    <w:rsid w:val="00B75646"/>
    <w:rsid w:val="00B822E9"/>
    <w:rsid w:val="00B9028D"/>
    <w:rsid w:val="00B90729"/>
    <w:rsid w:val="00B907DA"/>
    <w:rsid w:val="00B92656"/>
    <w:rsid w:val="00B950BC"/>
    <w:rsid w:val="00B95325"/>
    <w:rsid w:val="00B9714C"/>
    <w:rsid w:val="00BA224E"/>
    <w:rsid w:val="00BA2615"/>
    <w:rsid w:val="00BA31B6"/>
    <w:rsid w:val="00BA718C"/>
    <w:rsid w:val="00BB5CF9"/>
    <w:rsid w:val="00BB7A10"/>
    <w:rsid w:val="00BC366E"/>
    <w:rsid w:val="00BC7D4F"/>
    <w:rsid w:val="00BC7ED7"/>
    <w:rsid w:val="00BD2850"/>
    <w:rsid w:val="00BE28D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82F"/>
    <w:rsid w:val="00C676CE"/>
    <w:rsid w:val="00C67970"/>
    <w:rsid w:val="00C7275E"/>
    <w:rsid w:val="00C74C5D"/>
    <w:rsid w:val="00C76E88"/>
    <w:rsid w:val="00C863C4"/>
    <w:rsid w:val="00C93C3E"/>
    <w:rsid w:val="00C952A3"/>
    <w:rsid w:val="00CA12E3"/>
    <w:rsid w:val="00CA6611"/>
    <w:rsid w:val="00CB177C"/>
    <w:rsid w:val="00CB5B6B"/>
    <w:rsid w:val="00CC2BFD"/>
    <w:rsid w:val="00CD26B2"/>
    <w:rsid w:val="00CD3476"/>
    <w:rsid w:val="00CD64DF"/>
    <w:rsid w:val="00CE750D"/>
    <w:rsid w:val="00CF10EA"/>
    <w:rsid w:val="00CF2F50"/>
    <w:rsid w:val="00CF3C87"/>
    <w:rsid w:val="00D02919"/>
    <w:rsid w:val="00D04C61"/>
    <w:rsid w:val="00D04D8E"/>
    <w:rsid w:val="00D05B8D"/>
    <w:rsid w:val="00D07EC0"/>
    <w:rsid w:val="00D07F00"/>
    <w:rsid w:val="00D208B9"/>
    <w:rsid w:val="00D21873"/>
    <w:rsid w:val="00D33E72"/>
    <w:rsid w:val="00D35BD6"/>
    <w:rsid w:val="00D361B5"/>
    <w:rsid w:val="00D411A2"/>
    <w:rsid w:val="00D50B9C"/>
    <w:rsid w:val="00D52D73"/>
    <w:rsid w:val="00D52E58"/>
    <w:rsid w:val="00D56C68"/>
    <w:rsid w:val="00D714CC"/>
    <w:rsid w:val="00D75EA7"/>
    <w:rsid w:val="00D76013"/>
    <w:rsid w:val="00D81F21"/>
    <w:rsid w:val="00D95470"/>
    <w:rsid w:val="00D97CC0"/>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6628"/>
    <w:rsid w:val="00DE3250"/>
    <w:rsid w:val="00DE6028"/>
    <w:rsid w:val="00DE78A3"/>
    <w:rsid w:val="00DF1A71"/>
    <w:rsid w:val="00DF68C7"/>
    <w:rsid w:val="00E170DC"/>
    <w:rsid w:val="00E26818"/>
    <w:rsid w:val="00E27FFC"/>
    <w:rsid w:val="00E30B15"/>
    <w:rsid w:val="00E40181"/>
    <w:rsid w:val="00E46998"/>
    <w:rsid w:val="00E5090F"/>
    <w:rsid w:val="00E61DDE"/>
    <w:rsid w:val="00E629A1"/>
    <w:rsid w:val="00E63343"/>
    <w:rsid w:val="00E7578A"/>
    <w:rsid w:val="00E767FD"/>
    <w:rsid w:val="00E82C55"/>
    <w:rsid w:val="00E851B1"/>
    <w:rsid w:val="00E87E47"/>
    <w:rsid w:val="00E92AC3"/>
    <w:rsid w:val="00E95C2E"/>
    <w:rsid w:val="00E96F1F"/>
    <w:rsid w:val="00EB00E0"/>
    <w:rsid w:val="00EB5286"/>
    <w:rsid w:val="00EC059F"/>
    <w:rsid w:val="00EC1F24"/>
    <w:rsid w:val="00ED5B9B"/>
    <w:rsid w:val="00ED6BAD"/>
    <w:rsid w:val="00ED7447"/>
    <w:rsid w:val="00EE1488"/>
    <w:rsid w:val="00EE3166"/>
    <w:rsid w:val="00EE4D5D"/>
    <w:rsid w:val="00EE62E6"/>
    <w:rsid w:val="00EE7A6A"/>
    <w:rsid w:val="00EF109B"/>
    <w:rsid w:val="00EF362A"/>
    <w:rsid w:val="00EF36AF"/>
    <w:rsid w:val="00F00F9C"/>
    <w:rsid w:val="00F02ABA"/>
    <w:rsid w:val="00F0437A"/>
    <w:rsid w:val="00F11037"/>
    <w:rsid w:val="00F22EF4"/>
    <w:rsid w:val="00F250A9"/>
    <w:rsid w:val="00F30FF4"/>
    <w:rsid w:val="00F331AD"/>
    <w:rsid w:val="00F43A22"/>
    <w:rsid w:val="00F43A37"/>
    <w:rsid w:val="00F4641B"/>
    <w:rsid w:val="00F46EB8"/>
    <w:rsid w:val="00F47277"/>
    <w:rsid w:val="00F47826"/>
    <w:rsid w:val="00F511E4"/>
    <w:rsid w:val="00F52D09"/>
    <w:rsid w:val="00F52E08"/>
    <w:rsid w:val="00F53D0B"/>
    <w:rsid w:val="00F55B21"/>
    <w:rsid w:val="00F56EF6"/>
    <w:rsid w:val="00F64696"/>
    <w:rsid w:val="00F65AA9"/>
    <w:rsid w:val="00F6768F"/>
    <w:rsid w:val="00F72C2C"/>
    <w:rsid w:val="00F73838"/>
    <w:rsid w:val="00F76CAB"/>
    <w:rsid w:val="00F772C6"/>
    <w:rsid w:val="00F85195"/>
    <w:rsid w:val="00F938BA"/>
    <w:rsid w:val="00F94A4E"/>
    <w:rsid w:val="00F9697E"/>
    <w:rsid w:val="00FA2C46"/>
    <w:rsid w:val="00FB4CDA"/>
    <w:rsid w:val="00FC0F81"/>
    <w:rsid w:val="00FC2283"/>
    <w:rsid w:val="00FC395C"/>
    <w:rsid w:val="00FD2FEB"/>
    <w:rsid w:val="00FD3766"/>
    <w:rsid w:val="00FD47C4"/>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770758C"/>
  <w15:docId w15:val="{E57F7104-D3AE-4E1F-9ED0-598DA899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D76013"/>
    <w:pPr>
      <w:spacing w:after="160" w:line="259" w:lineRule="auto"/>
    </w:pPr>
    <w:rPr>
      <w:rFonts w:asciiTheme="minorHAnsi" w:eastAsiaTheme="minorHAnsi" w:hAnsiTheme="minorHAnsi" w:cstheme="minorBidi"/>
      <w:sz w:val="22"/>
      <w:szCs w:val="22"/>
      <w:lang w:eastAsia="en-US"/>
    </w:rPr>
  </w:style>
  <w:style w:type="paragraph" w:styleId="Heading1">
    <w:name w:val="heading 1"/>
    <w:next w:val="DPCbody"/>
    <w:link w:val="Heading1Char"/>
    <w:uiPriority w:val="1"/>
    <w:qFormat/>
    <w:rsid w:val="005E4097"/>
    <w:pPr>
      <w:keepNext/>
      <w:keepLines/>
      <w:spacing w:before="400" w:after="320" w:line="560" w:lineRule="atLeast"/>
      <w:outlineLvl w:val="0"/>
    </w:pPr>
    <w:rPr>
      <w:rFonts w:asciiTheme="majorHAnsi" w:eastAsia="MS Gothic" w:hAnsiTheme="majorHAnsi" w:cs="Arial"/>
      <w:bCs/>
      <w:color w:val="0072CE"/>
      <w:kern w:val="32"/>
      <w:sz w:val="44"/>
      <w:szCs w:val="52"/>
      <w:lang w:eastAsia="en-US"/>
    </w:rPr>
  </w:style>
  <w:style w:type="paragraph" w:styleId="Heading2">
    <w:name w:val="heading 2"/>
    <w:next w:val="DPCbody"/>
    <w:link w:val="Heading2Char"/>
    <w:uiPriority w:val="1"/>
    <w:qFormat/>
    <w:rsid w:val="00801EEF"/>
    <w:pPr>
      <w:keepNext/>
      <w:keepLines/>
      <w:spacing w:before="280" w:after="120"/>
      <w:outlineLvl w:val="1"/>
    </w:pPr>
    <w:rPr>
      <w:rFonts w:asciiTheme="majorHAnsi" w:eastAsia="MS Gothic" w:hAnsiTheme="majorHAnsi"/>
      <w:bCs/>
      <w:iCs/>
      <w:color w:val="0072CE"/>
      <w:sz w:val="36"/>
      <w:szCs w:val="36"/>
      <w:lang w:eastAsia="en-US"/>
    </w:rPr>
  </w:style>
  <w:style w:type="paragraph" w:styleId="Heading3">
    <w:name w:val="heading 3"/>
    <w:next w:val="DP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DPCbody"/>
    <w:link w:val="Heading4Char"/>
    <w:uiPriority w:val="1"/>
    <w:qFormat/>
    <w:rsid w:val="00801EEF"/>
    <w:pPr>
      <w:keepNext/>
      <w:keepLines/>
      <w:spacing w:before="240" w:after="120"/>
      <w:outlineLvl w:val="3"/>
    </w:pPr>
    <w:rPr>
      <w:rFonts w:asciiTheme="majorHAnsi" w:eastAsia="MS Mincho" w:hAnsiTheme="majorHAnsi"/>
      <w:b/>
      <w:bCs/>
      <w:color w:val="0072CE"/>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PCbody">
    <w:name w:val="DP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E4097"/>
    <w:rPr>
      <w:rFonts w:asciiTheme="majorHAnsi" w:eastAsia="MS Gothic" w:hAnsiTheme="majorHAnsi" w:cs="Arial"/>
      <w:bCs/>
      <w:color w:val="0072CE"/>
      <w:kern w:val="32"/>
      <w:sz w:val="44"/>
      <w:szCs w:val="52"/>
      <w:lang w:eastAsia="en-US"/>
    </w:rPr>
  </w:style>
  <w:style w:type="character" w:customStyle="1" w:styleId="Heading2Char">
    <w:name w:val="Heading 2 Char"/>
    <w:link w:val="Heading2"/>
    <w:uiPriority w:val="1"/>
    <w:rsid w:val="00801EEF"/>
    <w:rPr>
      <w:rFonts w:asciiTheme="majorHAnsi" w:eastAsia="MS Gothic" w:hAnsiTheme="majorHAnsi"/>
      <w:bCs/>
      <w:iCs/>
      <w:color w:val="0072CE"/>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801EEF"/>
    <w:rPr>
      <w:rFonts w:asciiTheme="majorHAnsi" w:eastAsia="MS Mincho" w:hAnsiTheme="majorHAnsi"/>
      <w:b/>
      <w:bCs/>
      <w:color w:val="0072CE"/>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link w:val="FooterChar"/>
    <w:uiPriority w:val="99"/>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7D0A10"/>
    <w:tblPr>
      <w:tblInd w:w="108" w:type="dxa"/>
      <w:tblBorders>
        <w:top w:val="single" w:sz="4" w:space="0" w:color="auto"/>
        <w:bottom w:val="single" w:sz="4" w:space="0" w:color="auto"/>
        <w:insideH w:val="single" w:sz="4" w:space="0" w:color="auto"/>
      </w:tblBorders>
    </w:tblPr>
  </w:style>
  <w:style w:type="paragraph" w:customStyle="1" w:styleId="DPCbodynospace">
    <w:name w:val="DPC body no space"/>
    <w:basedOn w:val="DPCbody"/>
    <w:uiPriority w:val="1"/>
    <w:rsid w:val="00801EEF"/>
    <w:pPr>
      <w:spacing w:after="0"/>
    </w:pPr>
  </w:style>
  <w:style w:type="paragraph" w:customStyle="1" w:styleId="DPCbullet1">
    <w:name w:val="DPC bullet 1"/>
    <w:basedOn w:val="DPCbody"/>
    <w:qFormat/>
    <w:rsid w:val="00526865"/>
    <w:pPr>
      <w:numPr>
        <w:numId w:val="8"/>
      </w:numPr>
      <w:spacing w:after="60"/>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semiHidden/>
    <w:rsid w:val="007D0A10"/>
    <w:pPr>
      <w:ind w:left="1600"/>
    </w:pPr>
  </w:style>
  <w:style w:type="paragraph" w:customStyle="1" w:styleId="DPCtabletext">
    <w:name w:val="DPC table text"/>
    <w:uiPriority w:val="3"/>
    <w:qFormat/>
    <w:rsid w:val="00801EEF"/>
    <w:pPr>
      <w:spacing w:before="60" w:after="40"/>
    </w:pPr>
    <w:rPr>
      <w:rFonts w:asciiTheme="minorHAnsi" w:hAnsiTheme="minorHAnsi"/>
      <w:color w:val="000000" w:themeColor="text1"/>
      <w:lang w:eastAsia="en-US"/>
    </w:rPr>
  </w:style>
  <w:style w:type="paragraph" w:customStyle="1" w:styleId="DPCtablecaption">
    <w:name w:val="DPC table caption"/>
    <w:next w:val="DPCbody"/>
    <w:uiPriority w:val="3"/>
    <w:qFormat/>
    <w:rsid w:val="00801EEF"/>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mainheading">
    <w:name w:val="DP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DPCfigurecaption">
    <w:name w:val="DPC figure caption"/>
    <w:next w:val="DP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DPCbullet2">
    <w:name w:val="DPC bullet 2"/>
    <w:basedOn w:val="DPCbody"/>
    <w:uiPriority w:val="2"/>
    <w:qFormat/>
    <w:rsid w:val="00526865"/>
    <w:pPr>
      <w:numPr>
        <w:ilvl w:val="1"/>
        <w:numId w:val="8"/>
      </w:numPr>
      <w:spacing w:after="60"/>
    </w:pPr>
  </w:style>
  <w:style w:type="paragraph" w:customStyle="1" w:styleId="DPCtablebullet">
    <w:name w:val="DPC table bullet"/>
    <w:basedOn w:val="DPCtabletext"/>
    <w:uiPriority w:val="3"/>
    <w:qFormat/>
    <w:rsid w:val="00526865"/>
    <w:pPr>
      <w:numPr>
        <w:numId w:val="13"/>
      </w:numPr>
    </w:pPr>
  </w:style>
  <w:style w:type="paragraph" w:customStyle="1" w:styleId="DPCtablecolhead">
    <w:name w:val="DP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DPCmainsubheading">
    <w:name w:val="DP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DPCbodynospace"/>
    <w:rsid w:val="007D0A10"/>
    <w:pPr>
      <w:spacing w:line="240" w:lineRule="auto"/>
    </w:pPr>
    <w:rPr>
      <w:noProof/>
      <w:sz w:val="12"/>
    </w:rPr>
  </w:style>
  <w:style w:type="paragraph" w:customStyle="1" w:styleId="DPCnumberdigit">
    <w:name w:val="DPC number digit"/>
    <w:basedOn w:val="DPCbody"/>
    <w:uiPriority w:val="4"/>
    <w:rsid w:val="00526865"/>
    <w:pPr>
      <w:numPr>
        <w:numId w:val="9"/>
      </w:numPr>
    </w:pPr>
  </w:style>
  <w:style w:type="paragraph" w:customStyle="1" w:styleId="DPCnumberloweralphaindent">
    <w:name w:val="DPC number lower alpha indent"/>
    <w:basedOn w:val="DPCbody"/>
    <w:uiPriority w:val="3"/>
    <w:rsid w:val="00526865"/>
    <w:pPr>
      <w:numPr>
        <w:ilvl w:val="1"/>
        <w:numId w:val="10"/>
      </w:numPr>
    </w:pPr>
    <w:rPr>
      <w:rFonts w:ascii="Arial" w:hAnsi="Arial"/>
    </w:rPr>
  </w:style>
  <w:style w:type="paragraph" w:customStyle="1" w:styleId="DPCnumberdigitindent">
    <w:name w:val="DPC number digit indent"/>
    <w:basedOn w:val="Normal"/>
    <w:uiPriority w:val="4"/>
    <w:qFormat/>
    <w:rsid w:val="00526865"/>
    <w:pPr>
      <w:numPr>
        <w:ilvl w:val="1"/>
        <w:numId w:val="9"/>
      </w:numPr>
      <w:spacing w:line="300" w:lineRule="atLeast"/>
    </w:pPr>
    <w:rPr>
      <w:rFonts w:eastAsia="Times" w:cs="Arial"/>
      <w:color w:val="000000" w:themeColor="text1"/>
    </w:rPr>
  </w:style>
  <w:style w:type="paragraph" w:customStyle="1" w:styleId="DPCnumberloweralpha">
    <w:name w:val="DPC number lower alpha"/>
    <w:basedOn w:val="DPCbody"/>
    <w:uiPriority w:val="3"/>
    <w:rsid w:val="00526865"/>
    <w:pPr>
      <w:numPr>
        <w:numId w:val="10"/>
      </w:numPr>
    </w:pPr>
    <w:rPr>
      <w:rFonts w:ascii="Arial" w:hAnsi="Arial"/>
    </w:rPr>
  </w:style>
  <w:style w:type="paragraph" w:customStyle="1" w:styleId="DPCnumberlowerroman">
    <w:name w:val="DPC number lower roman"/>
    <w:basedOn w:val="DPCbody"/>
    <w:uiPriority w:val="4"/>
    <w:qFormat/>
    <w:rsid w:val="00801EEF"/>
    <w:pPr>
      <w:numPr>
        <w:numId w:val="11"/>
      </w:numPr>
    </w:pPr>
  </w:style>
  <w:style w:type="paragraph" w:customStyle="1" w:styleId="DPCnumberlowerromanindent">
    <w:name w:val="DPC number lower roman indent"/>
    <w:basedOn w:val="DPCbody"/>
    <w:uiPriority w:val="4"/>
    <w:qFormat/>
    <w:rsid w:val="00801EEF"/>
    <w:pPr>
      <w:numPr>
        <w:ilvl w:val="1"/>
        <w:numId w:val="11"/>
      </w:numPr>
    </w:pPr>
  </w:style>
  <w:style w:type="paragraph" w:customStyle="1" w:styleId="DPCquote">
    <w:name w:val="DPC quote"/>
    <w:basedOn w:val="DPCbody"/>
    <w:uiPriority w:val="3"/>
    <w:qFormat/>
    <w:rsid w:val="00801EEF"/>
    <w:pPr>
      <w:ind w:left="397"/>
    </w:pPr>
    <w:rPr>
      <w:szCs w:val="18"/>
    </w:rPr>
  </w:style>
  <w:style w:type="paragraph" w:customStyle="1" w:styleId="DPCtablefigurefootnote">
    <w:name w:val="DP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DPCbodyaftertablefigure">
    <w:name w:val="DPC body after table/figure"/>
    <w:basedOn w:val="DPCbody"/>
    <w:uiPriority w:val="1"/>
    <w:rsid w:val="00801EEF"/>
    <w:pPr>
      <w:spacing w:before="240"/>
    </w:pPr>
  </w:style>
  <w:style w:type="paragraph" w:customStyle="1" w:styleId="DPCfooter">
    <w:name w:val="DP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DPCaccessibilitypara">
    <w:name w:val="DP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afterbullets">
    <w:name w:val="DPC body after bullets"/>
    <w:basedOn w:val="DPCbody"/>
    <w:uiPriority w:val="11"/>
    <w:rsid w:val="00801EEF"/>
    <w:pPr>
      <w:spacing w:before="160"/>
    </w:pPr>
  </w:style>
  <w:style w:type="paragraph" w:customStyle="1" w:styleId="DPCbulletafternumbers1">
    <w:name w:val="DPC bullet after numbers 1"/>
    <w:basedOn w:val="DPCbody"/>
    <w:rsid w:val="00526865"/>
    <w:pPr>
      <w:numPr>
        <w:ilvl w:val="2"/>
        <w:numId w:val="9"/>
      </w:numPr>
    </w:pPr>
  </w:style>
  <w:style w:type="paragraph" w:customStyle="1" w:styleId="DPCbulletafternumbers2">
    <w:name w:val="DPC bullet after numbers 2"/>
    <w:basedOn w:val="DPCbody"/>
    <w:rsid w:val="00526865"/>
    <w:pPr>
      <w:numPr>
        <w:ilvl w:val="3"/>
        <w:numId w:val="9"/>
      </w:numPr>
    </w:pPr>
  </w:style>
  <w:style w:type="paragraph" w:customStyle="1" w:styleId="DPCquotebullet">
    <w:name w:val="DPC quote bullet"/>
    <w:basedOn w:val="DPCquote"/>
    <w:rsid w:val="00526865"/>
    <w:pPr>
      <w:numPr>
        <w:numId w:val="12"/>
      </w:numPr>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DPCtabletext6pt">
    <w:name w:val="DPC table text + 6pt"/>
    <w:basedOn w:val="DPCtabletext"/>
    <w:uiPriority w:val="11"/>
    <w:rsid w:val="00F9697E"/>
    <w:pPr>
      <w:spacing w:after="120"/>
    </w:pPr>
  </w:style>
  <w:style w:type="character" w:styleId="UnresolvedMention">
    <w:name w:val="Unresolved Mention"/>
    <w:basedOn w:val="DefaultParagraphFont"/>
    <w:uiPriority w:val="99"/>
    <w:semiHidden/>
    <w:rsid w:val="00116F6F"/>
    <w:rPr>
      <w:color w:val="605E5C"/>
      <w:shd w:val="clear" w:color="auto" w:fill="E1DFDD"/>
    </w:rPr>
  </w:style>
  <w:style w:type="paragraph" w:styleId="BalloonText">
    <w:name w:val="Balloon Text"/>
    <w:basedOn w:val="Normal"/>
    <w:link w:val="BalloonTextChar"/>
    <w:uiPriority w:val="99"/>
    <w:semiHidden/>
    <w:unhideWhenUsed/>
    <w:rsid w:val="00084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BDE"/>
    <w:rPr>
      <w:rFonts w:ascii="Segoe UI" w:eastAsiaTheme="minorHAnsi" w:hAnsi="Segoe UI" w:cs="Segoe UI"/>
      <w:sz w:val="18"/>
      <w:szCs w:val="18"/>
      <w:lang w:eastAsia="en-US"/>
    </w:rPr>
  </w:style>
  <w:style w:type="character" w:customStyle="1" w:styleId="FooterChar">
    <w:name w:val="Footer Char"/>
    <w:basedOn w:val="DefaultParagraphFont"/>
    <w:link w:val="Footer"/>
    <w:uiPriority w:val="99"/>
    <w:rsid w:val="004878E1"/>
    <w:rPr>
      <w:rFonts w:asciiTheme="majorHAnsi" w:eastAsiaTheme="minorHAnsi" w:hAnsiTheme="majorHAnsi" w:cs="Arial"/>
      <w:sz w:val="22"/>
      <w:szCs w:val="22"/>
      <w:lang w:eastAsia="en-US"/>
    </w:rPr>
  </w:style>
  <w:style w:type="paragraph" w:customStyle="1" w:styleId="infosheettitle">
    <w:name w:val="# infosheet title"/>
    <w:basedOn w:val="Normal"/>
    <w:link w:val="infosheettitleChar"/>
    <w:qFormat/>
    <w:rsid w:val="004878E1"/>
    <w:pPr>
      <w:spacing w:after="0" w:line="420" w:lineRule="exact"/>
      <w:ind w:right="3357"/>
      <w:contextualSpacing/>
    </w:pPr>
    <w:rPr>
      <w:rFonts w:ascii="Arial Bold" w:eastAsia="Times New Roman" w:hAnsi="Arial Bold" w:cs="Times New Roman"/>
      <w:b/>
      <w:color w:val="FFFFFF"/>
      <w:sz w:val="44"/>
      <w:szCs w:val="40"/>
      <w:lang w:eastAsia="en-AU"/>
    </w:rPr>
  </w:style>
  <w:style w:type="character" w:customStyle="1" w:styleId="infosheettitleChar">
    <w:name w:val="# infosheet title Char"/>
    <w:basedOn w:val="DefaultParagraphFont"/>
    <w:link w:val="infosheettitle"/>
    <w:rsid w:val="004878E1"/>
    <w:rPr>
      <w:rFonts w:ascii="Arial Bold" w:hAnsi="Arial Bold"/>
      <w:b/>
      <w:color w:val="FFFFFF"/>
      <w:sz w:val="44"/>
      <w:szCs w:val="40"/>
    </w:rPr>
  </w:style>
  <w:style w:type="paragraph" w:customStyle="1" w:styleId="infosheetsubtitle">
    <w:name w:val="# infosheet subtitle"/>
    <w:basedOn w:val="Normal"/>
    <w:link w:val="infosheetsubtitleChar"/>
    <w:qFormat/>
    <w:rsid w:val="004878E1"/>
    <w:pPr>
      <w:spacing w:before="180" w:after="120" w:line="320" w:lineRule="exact"/>
      <w:ind w:right="3357"/>
      <w:contextualSpacing/>
    </w:pPr>
    <w:rPr>
      <w:rFonts w:ascii="Arial" w:eastAsia="Times New Roman" w:hAnsi="Arial" w:cs="Times New Roman"/>
      <w:color w:val="FFFFFF"/>
      <w:sz w:val="32"/>
      <w:szCs w:val="24"/>
      <w:lang w:eastAsia="en-AU"/>
    </w:rPr>
  </w:style>
  <w:style w:type="character" w:customStyle="1" w:styleId="infosheetsubtitleChar">
    <w:name w:val="# infosheet subtitle Char"/>
    <w:basedOn w:val="DefaultParagraphFont"/>
    <w:link w:val="infosheetsubtitle"/>
    <w:rsid w:val="004878E1"/>
    <w:rPr>
      <w:rFonts w:ascii="Arial" w:hAnsi="Arial"/>
      <w:color w:val="FFFFFF"/>
      <w:sz w:val="32"/>
      <w:szCs w:val="24"/>
    </w:rPr>
  </w:style>
  <w:style w:type="paragraph" w:customStyle="1" w:styleId="bodycopy">
    <w:name w:val="# body copy"/>
    <w:basedOn w:val="Normal"/>
    <w:qFormat/>
    <w:rsid w:val="004878E1"/>
    <w:pPr>
      <w:spacing w:after="120" w:line="264" w:lineRule="auto"/>
    </w:pPr>
    <w:rPr>
      <w:rFonts w:ascii="Arial" w:eastAsia="Times New Roman" w:hAnsi="Arial" w:cs="Arial"/>
      <w:color w:val="53565A"/>
      <w:sz w:val="20"/>
      <w:szCs w:val="20"/>
      <w:lang w:eastAsia="en-AU"/>
    </w:rPr>
  </w:style>
  <w:style w:type="paragraph" w:customStyle="1" w:styleId="heading2black">
    <w:name w:val="# heading 2 black"/>
    <w:basedOn w:val="Normal"/>
    <w:next w:val="bodycopy"/>
    <w:qFormat/>
    <w:rsid w:val="004878E1"/>
    <w:pPr>
      <w:keepNext/>
      <w:spacing w:before="240" w:after="120" w:line="240" w:lineRule="auto"/>
    </w:pPr>
    <w:rPr>
      <w:rFonts w:ascii="Arial" w:eastAsia="Times New Roman" w:hAnsi="Arial" w:cs="Arial"/>
      <w:b/>
      <w:sz w:val="20"/>
      <w:szCs w:val="20"/>
      <w:lang w:eastAsia="en-AU"/>
    </w:rPr>
  </w:style>
  <w:style w:type="paragraph" w:customStyle="1" w:styleId="heading1blue">
    <w:name w:val="# heading 1 blue"/>
    <w:basedOn w:val="Normal"/>
    <w:next w:val="bodycopy"/>
    <w:qFormat/>
    <w:rsid w:val="004878E1"/>
    <w:pPr>
      <w:keepNext/>
      <w:spacing w:before="360" w:after="120" w:line="240" w:lineRule="auto"/>
    </w:pPr>
    <w:rPr>
      <w:rFonts w:ascii="Arial" w:eastAsia="Times New Roman" w:hAnsi="Arial" w:cs="Arial"/>
      <w:color w:val="00629E"/>
      <w:sz w:val="24"/>
      <w:szCs w:val="20"/>
      <w:lang w:eastAsia="en-AU"/>
    </w:rPr>
  </w:style>
  <w:style w:type="paragraph" w:styleId="Title">
    <w:name w:val="Title"/>
    <w:basedOn w:val="Normal"/>
    <w:next w:val="Normal"/>
    <w:link w:val="TitleChar"/>
    <w:uiPriority w:val="10"/>
    <w:qFormat/>
    <w:rsid w:val="004878E1"/>
    <w:pPr>
      <w:spacing w:after="120" w:line="420" w:lineRule="exact"/>
      <w:ind w:right="3357"/>
      <w:contextualSpacing/>
    </w:pPr>
    <w:rPr>
      <w:rFonts w:ascii="Arial Bold" w:eastAsia="Times New Roman" w:hAnsi="Arial Bold" w:cs="Times New Roman"/>
      <w:b/>
      <w:color w:val="FFFFFF"/>
      <w:sz w:val="44"/>
      <w:szCs w:val="40"/>
      <w:lang w:eastAsia="en-AU"/>
    </w:rPr>
  </w:style>
  <w:style w:type="character" w:customStyle="1" w:styleId="TitleChar">
    <w:name w:val="Title Char"/>
    <w:basedOn w:val="DefaultParagraphFont"/>
    <w:link w:val="Title"/>
    <w:uiPriority w:val="10"/>
    <w:rsid w:val="004878E1"/>
    <w:rPr>
      <w:rFonts w:ascii="Arial Bold" w:hAnsi="Arial Bold"/>
      <w:b/>
      <w:color w:val="FFFFFF"/>
      <w:sz w:val="44"/>
      <w:szCs w:val="40"/>
    </w:rPr>
  </w:style>
  <w:style w:type="paragraph" w:styleId="Subtitle">
    <w:name w:val="Subtitle"/>
    <w:basedOn w:val="Normal"/>
    <w:next w:val="Normal"/>
    <w:link w:val="SubtitleChar"/>
    <w:uiPriority w:val="11"/>
    <w:qFormat/>
    <w:rsid w:val="004878E1"/>
    <w:pPr>
      <w:spacing w:before="180" w:after="120" w:line="320" w:lineRule="exact"/>
      <w:ind w:right="3357"/>
      <w:contextualSpacing/>
    </w:pPr>
    <w:rPr>
      <w:rFonts w:ascii="Arial" w:eastAsia="Times New Roman" w:hAnsi="Arial" w:cs="Times New Roman"/>
      <w:color w:val="FFFFFF"/>
      <w:sz w:val="32"/>
      <w:szCs w:val="24"/>
      <w:lang w:eastAsia="en-AU"/>
    </w:rPr>
  </w:style>
  <w:style w:type="character" w:customStyle="1" w:styleId="SubtitleChar">
    <w:name w:val="Subtitle Char"/>
    <w:basedOn w:val="DefaultParagraphFont"/>
    <w:link w:val="Subtitle"/>
    <w:uiPriority w:val="11"/>
    <w:rsid w:val="004878E1"/>
    <w:rPr>
      <w:rFonts w:ascii="Arial" w:hAnsi="Arial"/>
      <w:color w:val="FFFFF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ngserviceleave@dpc.vic.gov.a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iness.vic.gov.au/longserviceleav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Templates\Portrait_no%20cover.dotx" TargetMode="External"/></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4F2E-A448-4B3C-A8B5-A797F826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Portrait_no cover.dotx</Template>
  <TotalTime>4</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5137</CharactersWithSpaces>
  <SharedDoc>false</SharedDoc>
  <HyperlinkBase/>
  <HLinks>
    <vt:vector size="24" baseType="variant">
      <vt:variant>
        <vt:i4>1048625</vt:i4>
      </vt:variant>
      <vt:variant>
        <vt:i4>20</vt:i4>
      </vt:variant>
      <vt:variant>
        <vt:i4>0</vt:i4>
      </vt:variant>
      <vt:variant>
        <vt:i4>5</vt:i4>
      </vt:variant>
      <vt:variant>
        <vt:lpwstr/>
      </vt:variant>
      <vt:variant>
        <vt:lpwstr>_Toc410976290</vt:lpwstr>
      </vt:variant>
      <vt:variant>
        <vt:i4>1114161</vt:i4>
      </vt:variant>
      <vt:variant>
        <vt:i4>14</vt:i4>
      </vt:variant>
      <vt:variant>
        <vt:i4>0</vt:i4>
      </vt:variant>
      <vt:variant>
        <vt:i4>5</vt:i4>
      </vt:variant>
      <vt:variant>
        <vt:lpwstr/>
      </vt:variant>
      <vt:variant>
        <vt:lpwstr>_Toc410976289</vt:lpwstr>
      </vt:variant>
      <vt:variant>
        <vt:i4>1114161</vt:i4>
      </vt:variant>
      <vt:variant>
        <vt:i4>8</vt:i4>
      </vt:variant>
      <vt:variant>
        <vt:i4>0</vt:i4>
      </vt:variant>
      <vt:variant>
        <vt:i4>5</vt:i4>
      </vt:variant>
      <vt:variant>
        <vt:lpwstr/>
      </vt:variant>
      <vt:variant>
        <vt:lpwstr>_Toc410976288</vt:lpwstr>
      </vt:variant>
      <vt:variant>
        <vt:i4>1114161</vt:i4>
      </vt:variant>
      <vt:variant>
        <vt:i4>2</vt:i4>
      </vt:variant>
      <vt:variant>
        <vt:i4>0</vt:i4>
      </vt:variant>
      <vt:variant>
        <vt:i4>5</vt:i4>
      </vt:variant>
      <vt:variant>
        <vt:lpwstr/>
      </vt:variant>
      <vt:variant>
        <vt:lpwstr>_Toc410976287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Kathy Alys (DPC)</cp:lastModifiedBy>
  <cp:revision>3</cp:revision>
  <cp:lastPrinted>2015-01-28T03:08:00Z</cp:lastPrinted>
  <dcterms:created xsi:type="dcterms:W3CDTF">2019-06-20T06:19:00Z</dcterms:created>
  <dcterms:modified xsi:type="dcterms:W3CDTF">2019-06-20T06:22:00Z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2019-06-18T04:47:15.0106095Z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ies>
</file>